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FF" w:rsidRDefault="007471FF"/>
    <w:p w:rsidR="007471FF" w:rsidRDefault="007471FF"/>
    <w:p w:rsidR="007471FF" w:rsidRDefault="007471FF"/>
    <w:tbl>
      <w:tblPr>
        <w:tblW w:w="8501" w:type="dxa"/>
        <w:tblInd w:w="-142" w:type="dxa"/>
        <w:tblLayout w:type="fixed"/>
        <w:tblCellMar>
          <w:left w:w="0" w:type="dxa"/>
          <w:right w:w="0" w:type="dxa"/>
        </w:tblCellMar>
        <w:tblLook w:val="0000"/>
      </w:tblPr>
      <w:tblGrid>
        <w:gridCol w:w="852"/>
        <w:gridCol w:w="366"/>
        <w:gridCol w:w="604"/>
        <w:gridCol w:w="612"/>
        <w:gridCol w:w="77"/>
        <w:gridCol w:w="831"/>
        <w:gridCol w:w="305"/>
        <w:gridCol w:w="475"/>
        <w:gridCol w:w="738"/>
        <w:gridCol w:w="422"/>
        <w:gridCol w:w="791"/>
        <w:gridCol w:w="723"/>
        <w:gridCol w:w="490"/>
        <w:gridCol w:w="1215"/>
      </w:tblGrid>
      <w:tr w:rsidR="00AB15D9" w:rsidTr="00AE42C0">
        <w:trPr>
          <w:trHeight w:val="535"/>
        </w:trPr>
        <w:tc>
          <w:tcPr>
            <w:tcW w:w="8496" w:type="dxa"/>
            <w:gridSpan w:val="14"/>
            <w:tcBorders>
              <w:top w:val="nil"/>
              <w:left w:val="nil"/>
              <w:bottom w:val="single" w:sz="4" w:space="0" w:color="auto"/>
              <w:right w:val="nil"/>
            </w:tcBorders>
            <w:shd w:val="clear" w:color="auto" w:fill="auto"/>
            <w:noWrap/>
            <w:tcMar>
              <w:top w:w="15" w:type="dxa"/>
              <w:left w:w="15" w:type="dxa"/>
              <w:bottom w:w="0" w:type="dxa"/>
              <w:right w:w="15" w:type="dxa"/>
            </w:tcMar>
          </w:tcPr>
          <w:p w:rsidR="00DF4CEA" w:rsidRDefault="00DF4CEA" w:rsidP="00317D19">
            <w:pPr>
              <w:jc w:val="center"/>
              <w:rPr>
                <w:rFonts w:cs="Arial"/>
                <w:b/>
                <w:bCs/>
                <w:color w:val="000000"/>
                <w:sz w:val="40"/>
                <w:szCs w:val="40"/>
              </w:rPr>
            </w:pPr>
            <w:r>
              <w:rPr>
                <w:rFonts w:cs="Arial" w:hint="eastAsia"/>
                <w:b/>
                <w:bCs/>
                <w:color w:val="000000"/>
                <w:sz w:val="40"/>
                <w:szCs w:val="40"/>
              </w:rPr>
              <w:t>苏州市级财政支出项目绩效自评价报告</w:t>
            </w:r>
          </w:p>
        </w:tc>
      </w:tr>
      <w:tr w:rsidR="00AB15D9" w:rsidTr="00AE42C0">
        <w:trPr>
          <w:trHeight w:val="472"/>
        </w:trPr>
        <w:tc>
          <w:tcPr>
            <w:tcW w:w="8496"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4CEA" w:rsidRDefault="00DF4CEA" w:rsidP="00317D19">
            <w:pPr>
              <w:jc w:val="center"/>
              <w:rPr>
                <w:rFonts w:cs="Arial"/>
                <w:b/>
                <w:bCs/>
                <w:color w:val="000000"/>
                <w:sz w:val="36"/>
                <w:szCs w:val="36"/>
              </w:rPr>
            </w:pPr>
            <w:r>
              <w:rPr>
                <w:rFonts w:cs="Arial" w:hint="eastAsia"/>
                <w:b/>
                <w:bCs/>
                <w:color w:val="000000"/>
                <w:sz w:val="36"/>
                <w:szCs w:val="36"/>
              </w:rPr>
              <w:t>苏州市级财政支出项目绩效自评表</w:t>
            </w:r>
          </w:p>
        </w:tc>
      </w:tr>
      <w:tr w:rsidR="00AB15D9" w:rsidTr="00AE42C0">
        <w:trPr>
          <w:trHeight w:val="394"/>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项目名称</w:t>
            </w:r>
          </w:p>
        </w:tc>
        <w:tc>
          <w:tcPr>
            <w:tcW w:w="3460"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盐城淇岸股权收购</w:t>
            </w:r>
            <w:proofErr w:type="spellStart"/>
            <w:proofErr w:type="spellEnd"/>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项目年份</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ascii="宋体" w:hAnsi="宋体" w:hint="eastAsia"/>
                <w:sz w:val="22"/>
              </w:rPr>
              <w:t>2</w:t>
            </w:r>
            <w:r>
              <w:rPr>
                <w:rFonts w:ascii="宋体" w:hAnsi="宋体"/>
                <w:sz w:val="22"/>
              </w:rPr>
              <w:t>021</w:t>
            </w:r>
          </w:p>
        </w:tc>
      </w:tr>
      <w:tr w:rsidR="00AB15D9" w:rsidTr="00AE42C0">
        <w:trPr>
          <w:trHeight w:val="425"/>
        </w:trPr>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项目主管部门</w:t>
            </w:r>
            <w:r>
              <w:rPr>
                <w:rFonts w:cs="Arial" w:hint="eastAsia"/>
                <w:color w:val="000000"/>
                <w:sz w:val="22"/>
              </w:rPr>
              <w:t>(</w:t>
            </w:r>
            <w:r>
              <w:rPr>
                <w:rFonts w:cs="Arial" w:hint="eastAsia"/>
                <w:color w:val="000000"/>
                <w:sz w:val="22"/>
              </w:rPr>
              <w:t>单位</w:t>
            </w:r>
            <w:r>
              <w:rPr>
                <w:rFonts w:cs="Arial" w:hint="eastAsia"/>
                <w:color w:val="000000"/>
                <w:sz w:val="22"/>
              </w:rPr>
              <w:t>)</w:t>
            </w:r>
          </w:p>
        </w:tc>
        <w:tc>
          <w:tcPr>
            <w:tcW w:w="6678" w:type="dxa"/>
            <w:gridSpan w:val="11"/>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苏州创元投资发展（集团）有限公司</w:t>
            </w:r>
            <w:proofErr w:type="spellStart"/>
            <w:proofErr w:type="spellEnd"/>
          </w:p>
        </w:tc>
      </w:tr>
      <w:tr w:rsidR="00AB15D9" w:rsidTr="00AE42C0">
        <w:trPr>
          <w:trHeight w:val="535"/>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市级预算执行情况（万元）</w:t>
            </w: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年初预算数</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当年使用上年结余、结转及当年调整预算数</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指标结余数</w:t>
            </w:r>
          </w:p>
        </w:tc>
      </w:tr>
      <w:tr w:rsidR="00AB15D9" w:rsidTr="00AE42C0">
        <w:trPr>
          <w:trHeight w:val="441"/>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15000</w:t>
            </w:r>
          </w:p>
        </w:tc>
        <w:tc>
          <w:tcPr>
            <w:tcW w:w="230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2674"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15000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rPr>
          <w:trHeight w:val="346"/>
        </w:trPr>
        <w:tc>
          <w:tcPr>
            <w:tcW w:w="850"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市级财政资金使用情况（万元）</w:t>
            </w:r>
          </w:p>
        </w:tc>
        <w:tc>
          <w:tcPr>
            <w:tcW w:w="968"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财政拨款数</w:t>
            </w:r>
          </w:p>
        </w:tc>
        <w:tc>
          <w:tcPr>
            <w:tcW w:w="152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实际支付数</w:t>
            </w:r>
          </w:p>
        </w:tc>
        <w:tc>
          <w:tcPr>
            <w:tcW w:w="1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资金结余、结转数</w:t>
            </w:r>
          </w:p>
        </w:tc>
        <w:tc>
          <w:tcPr>
            <w:tcW w:w="3218"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其中：</w:t>
            </w:r>
          </w:p>
        </w:tc>
      </w:tr>
      <w:tr w:rsidR="00AB15D9" w:rsidTr="00AE42C0">
        <w:trPr>
          <w:trHeight w:val="378"/>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20" w:type="dxa"/>
            <w:gridSpan w:val="3"/>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940" w:type="dxa"/>
            <w:gridSpan w:val="4"/>
            <w:vMerge/>
            <w:tcBorders>
              <w:top w:val="single" w:sz="4" w:space="0" w:color="000000"/>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结转数</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Pr>
                <w:rFonts w:cs="Arial" w:hint="eastAsia"/>
                <w:color w:val="000000"/>
                <w:sz w:val="22"/>
              </w:rPr>
              <w:t>财政收回数</w:t>
            </w:r>
          </w:p>
        </w:tc>
      </w:tr>
      <w:tr w:rsidR="00AB15D9" w:rsidTr="00AE42C0">
        <w:trPr>
          <w:trHeight w:val="630"/>
        </w:trPr>
        <w:tc>
          <w:tcPr>
            <w:tcW w:w="850" w:type="dxa"/>
            <w:vMerge/>
            <w:tcBorders>
              <w:top w:val="nil"/>
              <w:left w:val="single" w:sz="4" w:space="0" w:color="000000"/>
              <w:bottom w:val="single" w:sz="4" w:space="0" w:color="000000"/>
              <w:right w:val="single" w:sz="4" w:space="0" w:color="000000"/>
            </w:tcBorders>
            <w:vAlign w:val="center"/>
          </w:tcPr>
          <w:p w:rsidR="00DF4CEA" w:rsidRDefault="00DF4CEA" w:rsidP="00317D19">
            <w:pPr>
              <w:rPr>
                <w:rFonts w:cs="Arial"/>
                <w:color w:val="000000"/>
                <w:sz w:val="22"/>
              </w:rPr>
            </w:pPr>
          </w:p>
        </w:tc>
        <w:tc>
          <w:tcPr>
            <w:tcW w:w="968"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15000</w:t>
            </w:r>
          </w:p>
        </w:tc>
        <w:tc>
          <w:tcPr>
            <w:tcW w:w="1520" w:type="dxa"/>
            <w:gridSpan w:val="3"/>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15000</w:t>
            </w:r>
          </w:p>
        </w:tc>
        <w:tc>
          <w:tcPr>
            <w:tcW w:w="1940" w:type="dxa"/>
            <w:gridSpan w:val="4"/>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51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c>
          <w:tcPr>
            <w:tcW w:w="1704"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DF4CEA" w:rsidRDefault="00DF4CEA" w:rsidP="00317D19">
            <w:pPr>
              <w:jc w:val="center"/>
              <w:rPr>
                <w:rFonts w:cs="Arial"/>
                <w:color w:val="000000"/>
                <w:sz w:val="22"/>
              </w:rPr>
            </w:pPr>
            <w:r w:rsidRPr="0016143E">
              <w:rPr>
                <w:rFonts w:ascii="宋体" w:hAnsi="宋体" w:hint="eastAsia"/>
                <w:sz w:val="22"/>
              </w:rPr>
              <w:t>0</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8496" w:type="dxa"/>
            <w:gridSpan w:val="14"/>
            <w:tcBorders>
              <w:top w:val="single" w:sz="4" w:space="0" w:color="auto"/>
              <w:left w:val="single" w:sz="4" w:space="0" w:color="auto"/>
              <w:bottom w:val="single" w:sz="4" w:space="0" w:color="auto"/>
              <w:right w:val="single" w:sz="4" w:space="0" w:color="auto"/>
            </w:tcBorders>
            <w:shd w:val="clear" w:color="auto" w:fill="BFBFBF"/>
            <w:vAlign w:val="center"/>
            <w:hideMark/>
          </w:tcPr>
          <w:p w:rsidR="00CE6115" w:rsidRDefault="00CE6115">
            <w:pPr>
              <w:widowControl/>
              <w:jc w:val="center"/>
              <w:rPr>
                <w:rFonts w:ascii="宋体" w:hAnsi="宋体" w:cs="Arial"/>
                <w:color w:val="000000"/>
                <w:kern w:val="0"/>
                <w:sz w:val="20"/>
                <w:szCs w:val="20"/>
              </w:rPr>
            </w:pPr>
            <w:r w:rsidRPr="00CE6115">
              <w:rPr>
                <w:rFonts w:ascii="宋体" w:hAnsi="宋体" w:cs="Arial" w:hint="eastAsia"/>
                <w:color w:val="000000"/>
                <w:kern w:val="0"/>
                <w:sz w:val="20"/>
                <w:szCs w:val="20"/>
              </w:rPr>
              <w:t>项目资金构成（详细列出各子项目名称和金额）</w:t>
            </w:r>
          </w:p>
        </w:tc>
      </w:tr>
      <w:tr w:rsidR="00AB15D9"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2507"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9B2F6A"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sidR="00F051B3">
              <w:rPr>
                <w:rFonts w:ascii="宋体" w:hAnsi="宋体" w:cs="Arial" w:hint="eastAsia"/>
                <w:color w:val="000000"/>
                <w:kern w:val="0"/>
                <w:sz w:val="20"/>
                <w:szCs w:val="20"/>
              </w:rPr>
              <w:t>子项名称</w:t>
            </w:r>
          </w:p>
        </w:tc>
        <w:tc>
          <w:tcPr>
            <w:tcW w:w="277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F051B3">
            <w:pPr>
              <w:widowControl/>
              <w:jc w:val="center"/>
              <w:rPr>
                <w:rFonts w:ascii="宋体" w:hAnsi="宋体" w:cs="Arial"/>
                <w:color w:val="000000"/>
                <w:kern w:val="0"/>
                <w:sz w:val="20"/>
                <w:szCs w:val="20"/>
              </w:rPr>
            </w:pPr>
            <w:r>
              <w:rPr>
                <w:rFonts w:ascii="宋体" w:hAnsi="宋体" w:cs="Arial" w:hint="eastAsia"/>
                <w:color w:val="000000"/>
                <w:kern w:val="0"/>
                <w:sz w:val="20"/>
                <w:szCs w:val="20"/>
              </w:rPr>
              <w:t>预算数（万元）</w:t>
            </w:r>
          </w:p>
        </w:tc>
        <w:tc>
          <w:tcPr>
            <w:tcW w:w="321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E6115" w:rsidRDefault="00F051B3" w:rsidP="00CE6115">
            <w:pPr>
              <w:widowControl/>
              <w:jc w:val="center"/>
              <w:rPr>
                <w:rFonts w:ascii="宋体" w:hAnsi="宋体" w:cs="Arial"/>
                <w:color w:val="000000"/>
                <w:kern w:val="0"/>
                <w:sz w:val="20"/>
                <w:szCs w:val="20"/>
              </w:rPr>
            </w:pPr>
            <w:r>
              <w:rPr>
                <w:rFonts w:ascii="宋体" w:hAnsi="宋体" w:cs="Arial" w:hint="eastAsia"/>
                <w:color w:val="000000"/>
                <w:kern w:val="0"/>
                <w:sz w:val="20"/>
                <w:szCs w:val="20"/>
              </w:rPr>
              <w:t>实际数（万元）</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合计</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15000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c>
          <w:tcPr>
            <w:tcW w:w="2507"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股权投资</w:t>
            </w:r>
          </w:p>
        </w:tc>
        <w:tc>
          <w:tcPr>
            <w:tcW w:w="2771" w:type="dxa"/>
            <w:gridSpan w:val="5"/>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15000</w:t>
            </w:r>
          </w:p>
        </w:tc>
        <w:tc>
          <w:tcPr>
            <w:tcW w:w="3218" w:type="dxa"/>
            <w:gridSpan w:val="4"/>
            <w:tcBorders>
              <w:top w:val="single" w:sz="4" w:space="0" w:color="auto"/>
              <w:left w:val="single" w:sz="4" w:space="0" w:color="auto"/>
              <w:bottom w:val="single" w:sz="4" w:space="0" w:color="auto"/>
              <w:right w:val="single" w:sz="4" w:space="0" w:color="auto"/>
            </w:tcBorders>
            <w:vAlign w:val="center"/>
            <w:hideMark/>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15000</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67"/>
        </w:trPr>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
            </w:r>
            <w:proofErr w:type="spellStart"/>
            <w:proofErr w:type="spellEnd"/>
            <w:r>
              <w:rPr>
                <w:rFonts w:ascii="宋体" w:hAnsi="宋体" w:cs="Arial" w:hint="eastAsia"/>
                <w:color w:val="000000"/>
                <w:kern w:val="0"/>
                <w:sz w:val="20"/>
                <w:szCs w:val="20"/>
              </w:rPr>
              <w:t>项目</w:t>
            </w:r>
          </w:p>
        </w:tc>
        <w:tc>
          <w:tcPr>
            <w:tcW w:w="121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类别</w:t>
            </w:r>
          </w:p>
        </w:tc>
        <w:tc>
          <w:tcPr>
            <w:tcW w:w="121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指标名称</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目标值</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权重</w:t>
            </w:r>
          </w:p>
        </w:tc>
        <w:tc>
          <w:tcPr>
            <w:tcW w:w="12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实际完成值</w:t>
            </w:r>
          </w:p>
        </w:tc>
        <w:tc>
          <w:tcPr>
            <w:tcW w:w="1214" w:type="dxa"/>
            <w:tcBorders>
              <w:top w:val="single" w:sz="4" w:space="0" w:color="auto"/>
              <w:left w:val="single" w:sz="4" w:space="0" w:color="auto"/>
              <w:bottom w:val="single" w:sz="4" w:space="0" w:color="auto"/>
              <w:right w:val="single" w:sz="4" w:space="0" w:color="auto"/>
            </w:tcBorders>
            <w:shd w:val="clear" w:color="auto" w:fill="BFBFBF"/>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自评分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项目绩效实现情况（80分）</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投入目标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专款专用率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项目日常进度管理规范性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规范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资金使用合规性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合规</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财务制度健全性</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健全</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预算执行率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产出目标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办理工商变更</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完成</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出资到位率</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结果目标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净利润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=5500万元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3774万元</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派驻高级管理人员</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委派董监高共计7人</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营业收入</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=16000万元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13478万元</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1.38</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利润总额</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=6300万元</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6.5</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4350万元</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restart"/>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影响力目标</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完成年度投资后评估</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&gt;=1次</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1次</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rPr>
          <w:trHeight w:val="315"/>
        </w:trPr>
        <w:trPr>
          <w:trHeight w:val="315"/>
        </w:trPr>
        <w:trPr>
          <w:trHeight w:val="315"/>
        </w:trPr>
        <w:trPr>
          <w:trHeight w:val="315"/>
        </w:trPr>
        <w:trPr>
          <w:trHeight w:val="315"/>
        </w:trPr>
        <w:trPr>
          <w:trHeight w:val="315"/>
        </w:trPr>
        <w:trPr>
          <w:trHeight w:val="315"/>
        </w:trPr>
        <w:tc>
          <w:tcPr>
            <w:tcW w:w="1215" w:type="dxa"/>
            <w:gridSpan w:val="2"/>
            <w:tcBorders>
              <w:top w:val="single" w:sz="4" w:space="0" w:color="auto"/>
              <w:left w:val="single" w:sz="4" w:space="0" w:color="auto"/>
              <w:bottom w:val="single" w:sz="4" w:space="0" w:color="auto"/>
              <w:right w:val="single" w:sz="4" w:space="0" w:color="auto"/>
            </w:tcBorders>
            <w:vAlign w:val="center"/>
            <w:hideMark/>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5" w:type="dxa"/>
            <w:gridSpan w:val="2"/>
            <w:tcBorders>
              <w:top w:val="single" w:sz="4" w:space="0" w:color="auto"/>
              <w:left w:val="single" w:sz="4" w:space="0" w:color="auto"/>
              <w:bottom w:val="single" w:sz="4" w:space="0" w:color="auto"/>
              <w:right w:val="single" w:sz="4" w:space="0" w:color="auto"/>
            </w:tcBorders>
            <w:vAlign w:val="center"/>
          </w:tcPr>
          <w:tcPr>
            <w:vMerge w:val="continue"/>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
            </w:r>
          </w:p>
        </w:tc>
        <w:tc>
          <w:tcPr>
            <w:tcW w:w="1213" w:type="dxa"/>
            <w:gridSpan w:val="3"/>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建立子公司内控管理制度</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建立</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c>
          <w:tcPr>
            <w:tcW w:w="1213" w:type="dxa"/>
            <w:gridSpan w:val="2"/>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100%</w:t>
            </w:r>
          </w:p>
        </w:tc>
        <w:tc>
          <w:tcPr>
            <w:tcW w:w="1214" w:type="dxa"/>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Arial"/>
                <w:color w:val="000000"/>
                <w:kern w:val="0"/>
                <w:sz w:val="20"/>
                <w:szCs w:val="20"/>
              </w:rPr>
            </w:pPr>
            <w:r>
              <w:rPr>
                <w:rFonts w:ascii="宋体" w:hAnsi="宋体" w:cs="Arial" w:hint="eastAsia"/>
                <w:color w:val="000000"/>
                <w:kern w:val="0"/>
                <w:sz w:val="20"/>
                <w:szCs w:val="20"/>
              </w:rPr>
              <w:t>3</w:t>
            </w:r>
          </w:p>
        </w:tc>
      </w:tr>
      <w:tr w:rsidR="00AE42C0" w:rsidTr="00AE4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Height w:val="315"/>
        </w:trPr>
        <w:tc>
          <w:tcPr>
            <w:tcW w:w="7282" w:type="dxa"/>
            <w:gridSpan w:val="13"/>
            <w:tcBorders>
              <w:top w:val="single" w:sz="4" w:space="0" w:color="auto"/>
              <w:left w:val="single" w:sz="4" w:space="0" w:color="auto"/>
              <w:bottom w:val="single" w:sz="4" w:space="0" w:color="auto"/>
              <w:right w:val="single" w:sz="4" w:space="0" w:color="auto"/>
            </w:tcBorders>
            <w:vAlign w:val="center"/>
          </w:tcPr>
          <w:p w:rsidR="00AE42C0" w:rsidRDefault="00AE42C0" w:rsidP="004037AB">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214" w:type="dxa"/>
            <w:tcBorders>
              <w:top w:val="single" w:sz="4" w:space="0" w:color="auto"/>
              <w:left w:val="single" w:sz="4" w:space="0" w:color="auto"/>
              <w:bottom w:val="single" w:sz="4" w:space="0" w:color="auto"/>
              <w:right w:val="single" w:sz="4" w:space="0" w:color="auto"/>
            </w:tcBorders>
            <w:vAlign w:val="center"/>
          </w:tcPr>
          <w:p w:rsidR="00AE42C0" w:rsidRDefault="00320B72" w:rsidP="004037AB">
            <w:pPr>
              <w:widowControl/>
              <w:jc w:val="left"/>
              <w:rPr>
                <w:rFonts w:ascii="宋体" w:hAnsi="宋体" w:cs="Arial"/>
                <w:color w:val="000000"/>
                <w:kern w:val="0"/>
                <w:sz w:val="20"/>
                <w:szCs w:val="20"/>
              </w:rPr>
            </w:pPr>
            <w:r w:rsidRPr="0016143E">
              <w:rPr>
                <w:rFonts w:ascii="宋体" w:hAnsi="宋体" w:hint="eastAsia"/>
                <w:sz w:val="22"/>
              </w:rPr>
              <w:t>61.88</w:t>
            </w:r>
          </w:p>
        </w:tc>
      </w:tr>
    </w:tbl>
    <w:p w:rsidR="00E632B8" w:rsidRDefault="00E632B8"/>
    <w:tbl>
      <w:tblPr>
        <w:tblW w:w="8506" w:type="dxa"/>
        <w:tblInd w:w="-147" w:type="dxa"/>
        <w:tblCellMar>
          <w:left w:w="0" w:type="dxa"/>
          <w:right w:w="0" w:type="dxa"/>
        </w:tblCellMar>
        <w:tblLook w:val="0000"/>
      </w:tblPr>
      <w:tblGrid>
        <w:gridCol w:w="1547"/>
        <w:gridCol w:w="840"/>
        <w:gridCol w:w="960"/>
        <w:gridCol w:w="960"/>
        <w:gridCol w:w="960"/>
        <w:gridCol w:w="960"/>
        <w:gridCol w:w="960"/>
        <w:gridCol w:w="1319"/>
      </w:tblGrid>
      <w:tr w:rsidR="007905BA" w:rsidTr="00E2688E">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填表说明：</w:t>
            </w:r>
            <w:r>
              <w:rPr>
                <w:rFonts w:cs="Arial" w:hint="eastAsia"/>
                <w:color w:val="000000"/>
                <w:sz w:val="22"/>
              </w:rPr>
              <w:t>1.</w:t>
            </w:r>
            <w:r>
              <w:rPr>
                <w:rFonts w:cs="Arial" w:hint="eastAsia"/>
                <w:color w:val="000000"/>
                <w:sz w:val="22"/>
              </w:rPr>
              <w:t>“市级预算执行情况”、“市级财政资金使用情况”均含非税收入。“年初预算数”填“二下”数；“当年使用上年结余、结转及当年调整预算数”</w:t>
            </w:r>
            <w:proofErr w:type="gramStart"/>
            <w:r>
              <w:rPr>
                <w:rFonts w:cs="Arial" w:hint="eastAsia"/>
                <w:color w:val="000000"/>
                <w:sz w:val="22"/>
              </w:rPr>
              <w:t>填当年</w:t>
            </w:r>
            <w:proofErr w:type="gramEnd"/>
            <w:r>
              <w:rPr>
                <w:rFonts w:cs="Arial" w:hint="eastAsia"/>
                <w:color w:val="000000"/>
                <w:sz w:val="22"/>
              </w:rPr>
              <w:t>使用上年结余、结转数以及追加或调减预算数；“财政拨款数”填财政部门实际拨付的款项数；“实际支付数”</w:t>
            </w:r>
            <w:proofErr w:type="gramStart"/>
            <w:r>
              <w:rPr>
                <w:rFonts w:cs="Arial" w:hint="eastAsia"/>
                <w:color w:val="000000"/>
                <w:sz w:val="22"/>
              </w:rPr>
              <w:t>填资金</w:t>
            </w:r>
            <w:proofErr w:type="gramEnd"/>
            <w:r>
              <w:rPr>
                <w:rFonts w:cs="Arial" w:hint="eastAsia"/>
                <w:color w:val="000000"/>
                <w:sz w:val="22"/>
              </w:rPr>
              <w:t>实际支付到最终使用者的数额；“结转数”填结转以后年度使用的资金数；“财政收回数”填财政部门收回的资金数。指标结余数</w:t>
            </w:r>
            <w:r>
              <w:rPr>
                <w:rFonts w:cs="Arial" w:hint="eastAsia"/>
                <w:color w:val="000000"/>
                <w:sz w:val="22"/>
              </w:rPr>
              <w:t>=</w:t>
            </w:r>
            <w:r>
              <w:rPr>
                <w:rFonts w:cs="Arial" w:hint="eastAsia"/>
                <w:color w:val="000000"/>
                <w:sz w:val="22"/>
              </w:rPr>
              <w:t>年初预算数</w:t>
            </w:r>
            <w:r>
              <w:rPr>
                <w:rFonts w:cs="Arial" w:hint="eastAsia"/>
                <w:color w:val="000000"/>
                <w:sz w:val="22"/>
              </w:rPr>
              <w:t>+</w:t>
            </w:r>
            <w:r>
              <w:rPr>
                <w:rFonts w:cs="Arial" w:hint="eastAsia"/>
                <w:color w:val="000000"/>
                <w:sz w:val="22"/>
              </w:rPr>
              <w:t>当年使用上年结余、结转及当年调整预算数</w:t>
            </w:r>
            <w:r>
              <w:rPr>
                <w:rFonts w:cs="Arial" w:hint="eastAsia"/>
                <w:color w:val="000000"/>
                <w:sz w:val="22"/>
              </w:rPr>
              <w:t>-</w:t>
            </w:r>
            <w:r>
              <w:rPr>
                <w:rFonts w:cs="Arial" w:hint="eastAsia"/>
                <w:color w:val="000000"/>
                <w:sz w:val="22"/>
              </w:rPr>
              <w:t>财政拨款数；资金结余、结转数</w:t>
            </w:r>
            <w:r>
              <w:rPr>
                <w:rFonts w:cs="Arial" w:hint="eastAsia"/>
                <w:color w:val="000000"/>
                <w:sz w:val="22"/>
              </w:rPr>
              <w:t>=</w:t>
            </w:r>
            <w:r>
              <w:rPr>
                <w:rFonts w:cs="Arial" w:hint="eastAsia"/>
                <w:color w:val="000000"/>
                <w:sz w:val="22"/>
              </w:rPr>
              <w:t>财政拨款数</w:t>
            </w:r>
            <w:r>
              <w:rPr>
                <w:rFonts w:cs="Arial" w:hint="eastAsia"/>
                <w:color w:val="000000"/>
                <w:sz w:val="22"/>
              </w:rPr>
              <w:t>-</w:t>
            </w:r>
            <w:r>
              <w:rPr>
                <w:rFonts w:cs="Arial" w:hint="eastAsia"/>
                <w:color w:val="000000"/>
                <w:sz w:val="22"/>
              </w:rPr>
              <w:t>实际支付数</w:t>
            </w:r>
            <w:r>
              <w:rPr>
                <w:rFonts w:cs="Arial" w:hint="eastAsia"/>
                <w:color w:val="000000"/>
                <w:sz w:val="22"/>
              </w:rPr>
              <w:t>=</w:t>
            </w:r>
            <w:r>
              <w:rPr>
                <w:rFonts w:cs="Arial" w:hint="eastAsia"/>
                <w:color w:val="000000"/>
                <w:sz w:val="22"/>
              </w:rPr>
              <w:t>结转数</w:t>
            </w:r>
            <w:r>
              <w:rPr>
                <w:rFonts w:cs="Arial" w:hint="eastAsia"/>
                <w:color w:val="000000"/>
                <w:sz w:val="22"/>
              </w:rPr>
              <w:t>+</w:t>
            </w:r>
            <w:r>
              <w:rPr>
                <w:rFonts w:cs="Arial" w:hint="eastAsia"/>
                <w:color w:val="000000"/>
                <w:sz w:val="22"/>
              </w:rPr>
              <w:t>财政收回数。</w:t>
            </w:r>
            <w:r>
              <w:rPr>
                <w:rFonts w:cs="Arial" w:hint="eastAsia"/>
                <w:color w:val="000000"/>
                <w:sz w:val="22"/>
              </w:rPr>
              <w:t>2.</w:t>
            </w:r>
            <w:r>
              <w:rPr>
                <w:rFonts w:cs="Arial" w:hint="eastAsia"/>
                <w:color w:val="000000"/>
                <w:sz w:val="22"/>
              </w:rPr>
              <w:t>“指标名称”中“投入”类指标根据项目类型，按照《</w:t>
            </w:r>
            <w:r w:rsidR="0063730A">
              <w:rPr>
                <w:rFonts w:cs="Arial" w:hint="eastAsia"/>
                <w:color w:val="000000"/>
                <w:sz w:val="22"/>
              </w:rPr>
              <w:t>2021</w:t>
            </w:r>
            <w:r>
              <w:rPr>
                <w:rFonts w:cs="Arial" w:hint="eastAsia"/>
                <w:color w:val="000000"/>
                <w:sz w:val="22"/>
              </w:rPr>
              <w:t>年度苏州市级财政支出项目绩效评价“投入”类共性指标》规定，逐一对照进行自评价；“产出”、“结果”、“影响力”三类指标填列预算部门（单位）报送的绩效目标申报表中经财政部门审核通过的指标，如发生绩效目标调整的，以经财政部门批准调整后的指标为准。</w:t>
            </w:r>
            <w:r>
              <w:rPr>
                <w:rFonts w:cs="Arial" w:hint="eastAsia"/>
                <w:color w:val="000000"/>
                <w:sz w:val="22"/>
              </w:rPr>
              <w:t>3.</w:t>
            </w:r>
            <w:r>
              <w:rPr>
                <w:rFonts w:cs="Arial" w:hint="eastAsia"/>
                <w:color w:val="000000"/>
                <w:sz w:val="22"/>
              </w:rPr>
              <w:t>各项指标权重值为根据指标数量将该类总分值分摊到各项指标的分值，即各项指标分值</w:t>
            </w:r>
            <w:r>
              <w:rPr>
                <w:rFonts w:cs="Arial" w:hint="eastAsia"/>
                <w:color w:val="000000"/>
                <w:sz w:val="22"/>
              </w:rPr>
              <w:t>=</w:t>
            </w:r>
            <w:r>
              <w:rPr>
                <w:rFonts w:cs="Arial" w:hint="eastAsia"/>
                <w:color w:val="000000"/>
                <w:sz w:val="22"/>
              </w:rPr>
              <w:t>该类总分值</w:t>
            </w:r>
            <w:r>
              <w:rPr>
                <w:rFonts w:cs="Arial" w:hint="eastAsia"/>
                <w:color w:val="000000"/>
                <w:sz w:val="22"/>
              </w:rPr>
              <w:t>/</w:t>
            </w:r>
            <w:r>
              <w:rPr>
                <w:rFonts w:cs="Arial" w:hint="eastAsia"/>
                <w:color w:val="000000"/>
                <w:sz w:val="22"/>
              </w:rPr>
              <w:t>指标个数。</w:t>
            </w:r>
            <w:r>
              <w:rPr>
                <w:rFonts w:cs="Arial" w:hint="eastAsia"/>
                <w:color w:val="000000"/>
                <w:sz w:val="22"/>
              </w:rPr>
              <w:t>4.</w:t>
            </w:r>
            <w:r>
              <w:rPr>
                <w:rFonts w:cs="Arial" w:hint="eastAsia"/>
                <w:color w:val="000000"/>
                <w:sz w:val="22"/>
              </w:rPr>
              <w:t>各项数据采集的时间节点均为</w:t>
            </w:r>
            <w:r>
              <w:rPr>
                <w:rFonts w:cs="Arial" w:hint="eastAsia"/>
                <w:color w:val="000000"/>
                <w:sz w:val="22"/>
              </w:rPr>
              <w:t>20</w:t>
            </w:r>
            <w:r>
              <w:rPr>
                <w:rFonts w:cs="Arial"/>
                <w:color w:val="000000"/>
                <w:sz w:val="22"/>
              </w:rPr>
              <w:t>21</w:t>
            </w:r>
            <w:r>
              <w:rPr>
                <w:rFonts w:cs="Arial" w:hint="eastAsia"/>
                <w:color w:val="000000"/>
                <w:sz w:val="22"/>
              </w:rPr>
              <w:t>年</w:t>
            </w:r>
            <w:r>
              <w:rPr>
                <w:rFonts w:cs="Arial" w:hint="eastAsia"/>
                <w:color w:val="000000"/>
                <w:sz w:val="22"/>
              </w:rPr>
              <w:t>12</w:t>
            </w:r>
            <w:r>
              <w:rPr>
                <w:rFonts w:cs="Arial" w:hint="eastAsia"/>
                <w:color w:val="000000"/>
                <w:sz w:val="22"/>
              </w:rPr>
              <w:t>月</w:t>
            </w:r>
            <w:r>
              <w:rPr>
                <w:rFonts w:cs="Arial" w:hint="eastAsia"/>
                <w:color w:val="000000"/>
                <w:sz w:val="22"/>
              </w:rPr>
              <w:t>31</w:t>
            </w:r>
            <w:r>
              <w:rPr>
                <w:rFonts w:cs="Arial" w:hint="eastAsia"/>
                <w:color w:val="000000"/>
                <w:sz w:val="22"/>
              </w:rPr>
              <w:t>日。定性指标按照</w:t>
            </w:r>
            <w:r>
              <w:rPr>
                <w:rFonts w:cs="Arial" w:hint="eastAsia"/>
                <w:color w:val="000000"/>
                <w:sz w:val="22"/>
              </w:rPr>
              <w:t xml:space="preserve"> </w:t>
            </w:r>
            <w:r>
              <w:rPr>
                <w:rFonts w:cs="Arial" w:hint="eastAsia"/>
                <w:color w:val="000000"/>
                <w:sz w:val="22"/>
              </w:rPr>
              <w:t>好、</w:t>
            </w:r>
            <w:r>
              <w:rPr>
                <w:rFonts w:cs="Arial" w:hint="eastAsia"/>
                <w:color w:val="000000"/>
                <w:sz w:val="22"/>
              </w:rPr>
              <w:lastRenderedPageBreak/>
              <w:t>较好、一般、较差、差</w:t>
            </w:r>
            <w:r>
              <w:rPr>
                <w:rFonts w:cs="Arial" w:hint="eastAsia"/>
                <w:color w:val="000000"/>
                <w:sz w:val="22"/>
              </w:rPr>
              <w:t xml:space="preserve"> </w:t>
            </w:r>
            <w:r>
              <w:rPr>
                <w:rFonts w:cs="Arial" w:hint="eastAsia"/>
                <w:color w:val="000000"/>
                <w:sz w:val="22"/>
              </w:rPr>
              <w:t>等级评分，分别得对应权重值的</w:t>
            </w:r>
            <w:r>
              <w:rPr>
                <w:rFonts w:cs="Arial" w:hint="eastAsia"/>
                <w:color w:val="000000"/>
                <w:sz w:val="22"/>
              </w:rPr>
              <w:t>100%</w:t>
            </w:r>
            <w:r>
              <w:rPr>
                <w:rFonts w:cs="Arial" w:hint="eastAsia"/>
                <w:color w:val="000000"/>
                <w:sz w:val="22"/>
              </w:rPr>
              <w:t>、</w:t>
            </w:r>
            <w:r>
              <w:rPr>
                <w:rFonts w:cs="Arial" w:hint="eastAsia"/>
                <w:color w:val="000000"/>
                <w:sz w:val="22"/>
              </w:rPr>
              <w:t>80%</w:t>
            </w:r>
            <w:r>
              <w:rPr>
                <w:rFonts w:cs="Arial" w:hint="eastAsia"/>
                <w:color w:val="000000"/>
                <w:sz w:val="22"/>
              </w:rPr>
              <w:t>、</w:t>
            </w:r>
            <w:r>
              <w:rPr>
                <w:rFonts w:cs="Arial" w:hint="eastAsia"/>
                <w:color w:val="000000"/>
                <w:sz w:val="22"/>
              </w:rPr>
              <w:t>60%</w:t>
            </w:r>
            <w:r>
              <w:rPr>
                <w:rFonts w:cs="Arial" w:hint="eastAsia"/>
                <w:color w:val="000000"/>
                <w:sz w:val="22"/>
              </w:rPr>
              <w:t>、</w:t>
            </w:r>
            <w:r>
              <w:rPr>
                <w:rFonts w:cs="Arial" w:hint="eastAsia"/>
                <w:color w:val="000000"/>
                <w:sz w:val="22"/>
              </w:rPr>
              <w:t>40%</w:t>
            </w:r>
            <w:r>
              <w:rPr>
                <w:rFonts w:cs="Arial" w:hint="eastAsia"/>
                <w:color w:val="000000"/>
                <w:sz w:val="22"/>
              </w:rPr>
              <w:t>和</w:t>
            </w:r>
            <w:r>
              <w:rPr>
                <w:rFonts w:cs="Arial" w:hint="eastAsia"/>
                <w:color w:val="000000"/>
                <w:sz w:val="22"/>
              </w:rPr>
              <w:t>20%</w:t>
            </w:r>
            <w:r>
              <w:rPr>
                <w:rFonts w:cs="Arial" w:hint="eastAsia"/>
                <w:color w:val="000000"/>
                <w:sz w:val="22"/>
              </w:rPr>
              <w:t>。定量指标评分规则：“产出”类每项指标的实际完成值对应预期设定的目标值，完成</w:t>
            </w:r>
            <w:r>
              <w:rPr>
                <w:rFonts w:cs="Arial" w:hint="eastAsia"/>
                <w:color w:val="000000"/>
                <w:sz w:val="22"/>
              </w:rPr>
              <w:t>100%</w:t>
            </w:r>
            <w:r>
              <w:rPr>
                <w:rFonts w:cs="Arial" w:hint="eastAsia"/>
                <w:color w:val="000000"/>
                <w:sz w:val="22"/>
              </w:rPr>
              <w:t>～</w:t>
            </w:r>
            <w:r>
              <w:rPr>
                <w:rFonts w:cs="Arial" w:hint="eastAsia"/>
                <w:color w:val="000000"/>
                <w:sz w:val="22"/>
              </w:rPr>
              <w:t>130%</w:t>
            </w:r>
            <w:r>
              <w:rPr>
                <w:rFonts w:cs="Arial" w:hint="eastAsia"/>
                <w:color w:val="000000"/>
                <w:sz w:val="22"/>
              </w:rPr>
              <w:t>得权重值满分，实际完成值每低于目标值</w:t>
            </w:r>
            <w:r>
              <w:rPr>
                <w:rFonts w:cs="Arial" w:hint="eastAsia"/>
                <w:color w:val="000000"/>
                <w:sz w:val="22"/>
              </w:rPr>
              <w:t>1</w:t>
            </w:r>
            <w:r>
              <w:rPr>
                <w:rFonts w:cs="Arial" w:hint="eastAsia"/>
                <w:color w:val="000000"/>
                <w:sz w:val="22"/>
              </w:rPr>
              <w:t>个百分点相应扣减权重值的</w:t>
            </w:r>
            <w:r>
              <w:rPr>
                <w:rFonts w:cs="Arial" w:hint="eastAsia"/>
                <w:color w:val="000000"/>
                <w:sz w:val="22"/>
              </w:rPr>
              <w:t>5%</w:t>
            </w:r>
            <w:r>
              <w:rPr>
                <w:rFonts w:cs="Arial" w:hint="eastAsia"/>
                <w:color w:val="000000"/>
                <w:sz w:val="22"/>
              </w:rPr>
              <w:t>，超过</w:t>
            </w:r>
            <w:r>
              <w:rPr>
                <w:rFonts w:cs="Arial" w:hint="eastAsia"/>
                <w:color w:val="000000"/>
                <w:sz w:val="22"/>
              </w:rPr>
              <w:t>130%</w:t>
            </w:r>
            <w:r>
              <w:rPr>
                <w:rFonts w:cs="Arial" w:hint="eastAsia"/>
                <w:color w:val="000000"/>
                <w:sz w:val="22"/>
              </w:rPr>
              <w:t>的每超过</w:t>
            </w:r>
            <w:r>
              <w:rPr>
                <w:rFonts w:cs="Arial" w:hint="eastAsia"/>
                <w:color w:val="000000"/>
                <w:sz w:val="22"/>
              </w:rPr>
              <w:t>1%</w:t>
            </w:r>
            <w:r>
              <w:rPr>
                <w:rFonts w:cs="Arial" w:hint="eastAsia"/>
                <w:color w:val="000000"/>
                <w:sz w:val="22"/>
              </w:rPr>
              <w:t>扣权重值</w:t>
            </w:r>
            <w:r>
              <w:rPr>
                <w:rFonts w:cs="Arial" w:hint="eastAsia"/>
                <w:color w:val="000000"/>
                <w:sz w:val="22"/>
              </w:rPr>
              <w:t>1%</w:t>
            </w:r>
            <w:r>
              <w:rPr>
                <w:rFonts w:cs="Arial" w:hint="eastAsia"/>
                <w:color w:val="000000"/>
                <w:sz w:val="22"/>
              </w:rPr>
              <w:t>；除指标解释中有特别说明的以外，“投入”类指标评分规则同“产出”类指标；“结果”类</w:t>
            </w:r>
            <w:r w:rsidR="000227CC">
              <w:rPr>
                <w:rFonts w:cs="Arial" w:hint="eastAsia"/>
                <w:color w:val="000000"/>
                <w:sz w:val="22"/>
              </w:rPr>
              <w:t>每项指标的实际完成值对应预期设定的目标值，完成</w:t>
            </w:r>
            <w:r w:rsidR="000227CC">
              <w:rPr>
                <w:rFonts w:cs="Arial" w:hint="eastAsia"/>
                <w:color w:val="000000"/>
                <w:sz w:val="22"/>
              </w:rPr>
              <w:t>100%</w:t>
            </w:r>
            <w:r w:rsidR="000227CC">
              <w:rPr>
                <w:rFonts w:cs="Arial" w:hint="eastAsia"/>
                <w:color w:val="000000"/>
                <w:sz w:val="22"/>
              </w:rPr>
              <w:t>～</w:t>
            </w:r>
            <w:r w:rsidR="000227CC">
              <w:rPr>
                <w:rFonts w:cs="Arial" w:hint="eastAsia"/>
                <w:color w:val="000000"/>
                <w:sz w:val="22"/>
              </w:rPr>
              <w:t>200%</w:t>
            </w:r>
            <w:r w:rsidR="000227CC">
              <w:rPr>
                <w:rFonts w:cs="Arial" w:hint="eastAsia"/>
                <w:color w:val="000000"/>
                <w:sz w:val="22"/>
              </w:rPr>
              <w:t>得权重值满分</w:t>
            </w:r>
            <w:r>
              <w:rPr>
                <w:rFonts w:cs="Arial" w:hint="eastAsia"/>
                <w:color w:val="000000"/>
                <w:sz w:val="22"/>
              </w:rPr>
              <w:t>，</w:t>
            </w:r>
            <w:r w:rsidR="000227CC">
              <w:rPr>
                <w:rFonts w:cs="Arial" w:hint="eastAsia"/>
                <w:color w:val="000000"/>
                <w:sz w:val="22"/>
              </w:rPr>
              <w:t>超过</w:t>
            </w:r>
            <w:r w:rsidR="000227CC">
              <w:rPr>
                <w:rFonts w:cs="Arial" w:hint="eastAsia"/>
                <w:color w:val="000000"/>
                <w:sz w:val="22"/>
              </w:rPr>
              <w:t>200%</w:t>
            </w:r>
            <w:r w:rsidR="000227CC">
              <w:rPr>
                <w:rFonts w:cs="Arial" w:hint="eastAsia"/>
                <w:color w:val="000000"/>
                <w:sz w:val="22"/>
              </w:rPr>
              <w:t>的每超过</w:t>
            </w:r>
            <w:r w:rsidR="000227CC">
              <w:rPr>
                <w:rFonts w:cs="Arial" w:hint="eastAsia"/>
                <w:color w:val="000000"/>
                <w:sz w:val="22"/>
              </w:rPr>
              <w:t>1%</w:t>
            </w:r>
            <w:r w:rsidR="000227CC">
              <w:rPr>
                <w:rFonts w:cs="Arial" w:hint="eastAsia"/>
                <w:color w:val="000000"/>
                <w:sz w:val="22"/>
              </w:rPr>
              <w:t>扣权重值</w:t>
            </w:r>
            <w:r w:rsidR="000227CC">
              <w:rPr>
                <w:rFonts w:cs="Arial" w:hint="eastAsia"/>
                <w:color w:val="000000"/>
                <w:sz w:val="22"/>
              </w:rPr>
              <w:t>1%,</w:t>
            </w:r>
            <w:r w:rsidR="0027417E">
              <w:rPr>
                <w:rFonts w:cs="Arial" w:hint="eastAsia"/>
                <w:color w:val="000000"/>
                <w:sz w:val="22"/>
              </w:rPr>
              <w:t>实际完成值每低于目标值</w:t>
            </w:r>
            <w:r w:rsidR="0027417E">
              <w:rPr>
                <w:rFonts w:cs="Arial" w:hint="eastAsia"/>
                <w:color w:val="000000"/>
                <w:sz w:val="22"/>
              </w:rPr>
              <w:t>1</w:t>
            </w:r>
            <w:r w:rsidR="0027417E">
              <w:rPr>
                <w:rFonts w:cs="Arial" w:hint="eastAsia"/>
                <w:color w:val="000000"/>
                <w:sz w:val="22"/>
              </w:rPr>
              <w:t>个百分点相应扣减权重值的</w:t>
            </w:r>
            <w:r w:rsidR="0027417E">
              <w:rPr>
                <w:rFonts w:cs="Arial" w:hint="eastAsia"/>
                <w:color w:val="000000"/>
                <w:sz w:val="22"/>
              </w:rPr>
              <w:t>5%</w:t>
            </w:r>
            <w:r>
              <w:rPr>
                <w:rFonts w:cs="Arial" w:hint="eastAsia"/>
                <w:color w:val="000000"/>
                <w:sz w:val="22"/>
              </w:rPr>
              <w:t>。某项指标无法提供具体数值，且无说明，得</w:t>
            </w:r>
            <w:r>
              <w:rPr>
                <w:rFonts w:cs="Arial" w:hint="eastAsia"/>
                <w:color w:val="000000"/>
                <w:sz w:val="22"/>
              </w:rPr>
              <w:t>0</w:t>
            </w:r>
            <w:r>
              <w:rPr>
                <w:rFonts w:cs="Arial" w:hint="eastAsia"/>
                <w:color w:val="000000"/>
                <w:sz w:val="22"/>
              </w:rPr>
              <w:t>分。</w:t>
            </w:r>
          </w:p>
        </w:tc>
      </w:tr>
      <w:tr w:rsidR="007905BA" w:rsidTr="00E2688E">
        <w:trPr>
          <w:trHeight w:val="450"/>
        </w:trPr>
        <w:tc>
          <w:tcPr>
            <w:tcW w:w="8506"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b/>
                <w:bCs/>
                <w:color w:val="000000"/>
                <w:sz w:val="36"/>
                <w:szCs w:val="36"/>
              </w:rPr>
            </w:pPr>
            <w:r>
              <w:rPr>
                <w:rFonts w:cs="Arial" w:hint="eastAsia"/>
                <w:b/>
                <w:bCs/>
                <w:color w:val="000000"/>
                <w:sz w:val="36"/>
                <w:szCs w:val="36"/>
              </w:rPr>
              <w:lastRenderedPageBreak/>
              <w:t>项目基本情况</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项目概况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以盐城淇岸环境科技有限公司全部股东权益作价5.38亿元为依据，以价格4.304亿元收购周乔、周苗持有盐城淇岸80%股权。</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项目总目标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收购标的公司占地面积246亩，拥有总处置量30万吨、年处置量2万吨的刚性危废填埋场及年处置量1.2万吨危废焚烧能力，其中填埋业务一期已建成4万吨刚性填埋场，目前已填埋2万吨危险废弃物。完成股权收购，办理工商变更，内部管控体系建立完成，保证公司日常经营有序开展，年危费处置量2万吨。2021年达到营业收入16000万元，利润总额6300万元，净利润5500万元。</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年度绩效目标</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完成股权收购，办理工商变更，2021年达到营业收入16000万元，利润总额6300万元，净利润5500万元。</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53249F">
            <w:pPr>
              <w:jc w:val="center"/>
              <w:rPr>
                <w:rFonts w:cs="Arial"/>
                <w:color w:val="000000"/>
                <w:sz w:val="22"/>
              </w:rPr>
            </w:pPr>
            <w:r>
              <w:rPr>
                <w:rFonts w:cs="Arial" w:hint="eastAsia"/>
                <w:color w:val="000000"/>
                <w:sz w:val="22"/>
              </w:rPr>
              <w:t>项目实施情况</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53249F">
            <w:pPr>
              <w:jc w:val="center"/>
              <w:rPr>
                <w:rFonts w:cs="Arial"/>
                <w:color w:val="000000"/>
                <w:sz w:val="22"/>
              </w:rPr>
            </w:pPr>
            <w:r>
              <w:rPr>
                <w:rFonts w:cs="Arial" w:hint="eastAsia"/>
                <w:color w:val="000000"/>
                <w:sz w:val="22"/>
              </w:rPr>
              <w:t>2020年创元集团实际支付股权收购款4.304亿元，顺利完成盐城淇岸股权收购事宜，并相继完成了委派高级管理人员和工商变更。2021年8月收到市国资委关于收购盐城淇岸项目国有资本金注入15000万元。截止2021年末，参照国资监管要求，累计修订完善规章制度23项，以国资监管和国企改革为抓手，认真落实全面深化改革工作任务，11月建立并完善了内控管理体系以及公司治理结构。2021年实现营业收入1.35亿元，利润总额4350万元，净利润3774万元。</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项目管理成效</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1、经营绩效稳定，处于业内领先。</w:t>
              <w:br/>
              <w:t>在成为国资下属企业后，盐城淇岸充分利用集团资源、资金、人才和管理经验的优势，完善了国企财务监管制度，有效防范国有资产流失，加强规范管理，注重成本控制和增效。截至2020年底完成营业收入18852万元，实现利润10254 万元，实现焚烧量9326吨，填埋量21882吨，已远超2019年焚烧量5581吨，填埋量9814吨（收购前）的报表数值，可谓成绩喜人。与此同时，2019年焚烧单吨生产成本4114元，填埋单吨生产成本1796元，2020年经过规范化管理和精细化生产运营的方案的有效实施，使得焚烧单吨生产成本下降到3264元，填埋的单吨生产成本下降到1591元。2021年，宏观市场条件急剧变化、同业竞争加剧、价格大幅下降，盐城淇岸依然实现营业收入1.35亿元，利润总额4350万元，净利润3774万元。年度废弃物焚烧量共计9046吨，废弃物填埋量19296吨。值得一提的是刚性填埋业务在收购后，省内同行业乃至同行国企中始终位居第一的位置，以标杆身份树立在危废行业。</w:t>
              <w:br/>
              <w:t>横比拥有同类业务的上市公司东江环保，从其公开的财务报表中看到，2021年度，全公司实现营业收入40.15亿元，净利润1.6亿元，其中工业废物资源化利用业务营业收入约为15.65亿元，贡献利润总额约1.55亿元，而与我们业务范围几乎一致的焚烧填埋等无害化处置业务收入约为17.12亿元，利润总额仅为0.5亿元。</w:t>
              <w:br/>
              <w:t>2、研发持续投入，创新处置品类。</w:t>
              <w:br/>
              <w:t>公司按年初计划，通过组织调整优化研发组织架构和研发流程、加大内部研发创新投入等两个方面进行突破，至2021年末已达到处置氰化物、三氧化二砷、无氧化二砷、氯化永、硝酸永、碘化永、叠氮钠、铊等过期剧毒品的能力。今年共处置了四批剧毒化学试剂，合计58.7公斤，合计总价285.95万元。其中4月处置的“南京市疾病预防控制中心废弃化学试剂处置”项目，处置难度极大，单价极高（35公斤，总价267万元），在省内具有模范示范作用。2021年，公司已获得发明专利1项，并有16项专利正在申请中，其中包括1项发明专利，15项实用新型专利。</w:t>
              <w:br/>
              <w:t>3、重视合规管理，各项制度逐步健全。</w:t>
              <w:br/>
              <w:t>公司于2021年11月10日，与苏州市吴中区固体废弃物处理有限公司、盐城常林环保科技有限公司共同成立了合规工作管理小组，由董事长担任组长、总经理担任副组长，对公司合规管理总负责，分管领导对分管业务领域合规管理承担相应管理责任，结合创元集团合规管理办法中的相关要求和“三法一册”（新安全法、新固废法、环境保护法和内控体系手册）合规管理工作的实际情况，进行合规管理的推进。重点推进的领域包括公司治理、合同管理、市场交易、商业伙伴、财务税收等十五项大类。合规小组的建立，大大提升了公司合规管理水平，进一步推动依法治企工作的深入开展。</w:t>
              <w:br/>
              <w:t>根据集团相关要求，公司上下分部门、分岗位，经过现状摸底、制度修订、缺陷整改等一系列工作，制定了内控管理实施方案，初步建立符合要求的内控体系，实现内控全覆盖。完成了《党支部前置研究讨论重大事项规程》、《党支部主体责任》、《纪检责任的实施办法》、《激励改革创新担当作为容错纠错实施细则》、《违规经营投资责任追究实施细则》的编制，修订了《合同管理制度》、《三重一大管理制度》，制定了《研发管理制度》，围绕规范化管理、安全环保、三重一大、内控手册四方面开展内控管理抽查工作。以上工作的开展，有益于统一规划制订，有益于统一结构调整，更有益于人才、资金、场地等资源进一步整合，提高了综合实力，增创了发展优势。</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项目管理存在的问题及原因</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宏观市场条件不可预知的急剧变化，造成盐城淇岸自身经营绩效较2020年出现明显下滑，主要体现在1、2021年度盐城淇岸实现营业收入13478万元，利润总额4350万元，净利润3774万元，分别完成项目绩效目标的84.24%，69.05%，68.62%，未完成年度预定目标。2、焚烧填埋处置总量较2020年略有下降，焚烧填埋单价较2020年有明显下降。</w:t>
              <w:br/>
              <w:t>主要分析如下：</w:t>
              <w:br/>
              <w:t>1、审批权限下放，行业准入放宽。</w:t>
              <w:br/>
              <w:t>根据江苏省人民政府办公厅下发的苏政发【2016】1号文件《江苏省政府关于取消下放行政审批等权力事项和清理规范中介服务事项的通知》第十条“危险废弃物经营许可审批权限由省环保厅下放至设区的市级环境保护行政主管部门行使”要求，苏北地区自2021年开始全面执行，危废类项目可谓“遍地开花”。2019年全省刚性填埋许可证的企业有3家，处置总量3.8万吨，截至2021年底，增加至12 家，处置总量增加至24.5万吨，行业“内卷”严重。</w:t>
              <w:br/>
              <w:t>2、大环境紧俏，价格下滑趋势显著。</w:t>
              <w:br/>
              <w:t>据不完全统计，由于行业“内卷”，危废许可证发放大幅度增加，直接导致市场强化竞争，价格战愈演愈烈，影响的结果是2021年焚烧价格3849元/吨，填埋5160元/吨，分别同比下降25.50%、19.36%，直接导致了利润总额大幅下降。行业价格的下降，即便盐城淇岸依靠良好服务和跟客户的良好粘性，单价相较于同行具备200-300元/吨的优势，一定程度上保证了清运量，也采取了降本的增效的有利措施，但依旧不能扭转利润总额与去年同期下降的局面。</w:t>
              <w:br/>
              <w:t>3、填埋管控趋紧，普遍预先处置。</w:t>
              <w:br/>
              <w:t>根据生态环境部和国家市场监督管理总局2020年6月1日联合发布的《危险废物填埋污染控制标准》中《6、填埋废物的入场要求》对废物填埋归类进行明确要求，而刚性填埋相较柔性填埋普遍成本较高，对当地企业而言在标准下发完全执行到位前，纷纷进行废物的柔性填埋，大大减少了市场刚性填埋需求量。</w:t>
              <w:br/>
              <w:t>4、危废处置创新，践行变废为宝。</w:t>
              <w:br/>
              <w:t>由于固危废物产出量巨大，填埋管控要求日益提高，处置成本逐步上升，当地化工企业开始积极寻求通过处置技术革新，探索变废为宝的新思路，在此基础上，基于产废源头的治理能力提升及循环经济理念，危废产生量增速有逐年降低的趋势。同时，上述危废处置利用能力的集中释放，核准危废资质增速远高于废物产生量，势必对工业危废处理面临很大冲击。</w:t>
            </w:r>
          </w:p>
        </w:tc>
      </w:tr>
      <w:tr w:rsidR="007905BA" w:rsidTr="00E2688E">
        <w:tc>
          <w:tcPr>
            <w:tcW w:w="154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7905BA" w:rsidRDefault="007905BA" w:rsidP="007905BA">
            <w:pPr>
              <w:jc w:val="center"/>
              <w:rPr>
                <w:rFonts w:cs="Arial"/>
                <w:color w:val="000000"/>
                <w:sz w:val="22"/>
              </w:rPr>
            </w:pPr>
            <w:r>
              <w:rPr>
                <w:rFonts w:cs="Arial" w:hint="eastAsia"/>
                <w:color w:val="000000"/>
                <w:sz w:val="22"/>
              </w:rPr>
              <w:t>进一步加强项目管理的建议</w:t>
            </w:r>
          </w:p>
        </w:tc>
        <w:tc>
          <w:tcPr>
            <w:tcW w:w="6959" w:type="dxa"/>
            <w:gridSpan w:val="7"/>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7905BA" w:rsidRDefault="00AB1312" w:rsidP="007905BA">
            <w:pPr>
              <w:jc w:val="center"/>
              <w:rPr>
                <w:rFonts w:cs="Arial"/>
                <w:color w:val="000000"/>
                <w:sz w:val="22"/>
              </w:rPr>
            </w:pPr>
            <w:r>
              <w:rPr>
                <w:rFonts w:cs="Arial" w:hint="eastAsia"/>
                <w:color w:val="000000"/>
                <w:sz w:val="22"/>
              </w:rPr>
              <w:t>1、通过技术革新，降低焚烧填埋过程中的材料损耗，降低营运成本。在生产安排中做到统筹兼顾，内外结合，合理配伍，前后配合，同时还注重员工技能培训，绩效强化考核，提高劳动效率。以成本核算为牛鼻子，尤其对物资采购成本、新品研发成本、生产运营成本以及非经营性开支成本等重点环节严加控制，决不因管理上的浪费流失造成效益降与减。</w:t>
              <w:br/>
              <w:t>2、通过内控体系建立，做到产供销精细化管理，提升效率，降低各项费用。通过强化内控制度，切实做到以制度管人管事管运行，既强化降本增效，又规避经营风险，有利于提高销售利润率，保持效益持续稳定增长。</w:t>
              <w:br/>
              <w:t>3、继续挖掘新客户，维护老客户，与系统内吴中固废、常林环保协同“作战”，将吴中固废生产运营有经验的管理者派到盐城淇岸指导生产，实现优势互补，“三位一体”有机结合，做到苏南苏北资源共享，增加焚烧和填埋客户订单。</w:t>
              <w:br/>
              <w:t>4、结合“双碳”理念，向资源化综合利用方向转型升级，寻求新的业务增长点。转型升级的方向主要有：含贵金属线路板综合利用资源化项目，从战略性资源储备和再生回收方面，具有积极意义；争取立项医疗废弃物项目，可以进一步改善公共卫生服务体系和城市医疗废弃物污染状况，助力卫生事业高质量发展；积极拓展废盐资源化综合利用项目，打造废弃资源循环利用、变废为宝的生态环境。在转型升级中注重“三个结合”，做到资源化利用方向研发与市场导向相结合，科技成果转化与技术改造相结合，发挥自身研发力量与产学研合作相结合，通过“三个结合”，逐步形成以企业为主体、市场为导向、产学研用相结合的创新体系。</w:t>
            </w:r>
          </w:p>
        </w:tc>
      </w:tr>
      <w:tr w:rsidR="007905BA" w:rsidTr="00E2688E">
        <w:trPr>
          <w:trHeight w:val="285"/>
        </w:trPr>
        <w:tc>
          <w:tcPr>
            <w:tcW w:w="8506" w:type="dxa"/>
            <w:gridSpan w:val="8"/>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7905BA" w:rsidRDefault="007905BA" w:rsidP="007905BA">
            <w:pPr>
              <w:rPr>
                <w:rFonts w:cs="Arial"/>
                <w:sz w:val="22"/>
              </w:rPr>
            </w:pPr>
            <w:r>
              <w:rPr>
                <w:rFonts w:cs="Arial" w:hint="eastAsia"/>
                <w:sz w:val="22"/>
              </w:rPr>
              <w:t>（标注：项目概况、项目总目标、年度绩效目标由软件自动从申报表中生成）</w:t>
            </w:r>
          </w:p>
        </w:tc>
      </w:tr>
      <w:tr w:rsidR="007905BA" w:rsidTr="00E2688E">
        <w:trPr>
          <w:hidden/>
        </w:trPr>
        <w:tc>
          <w:tcPr>
            <w:tcW w:w="1547"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c>
          <w:tcPr>
            <w:tcW w:w="1319" w:type="dxa"/>
            <w:tcBorders>
              <w:top w:val="nil"/>
              <w:left w:val="nil"/>
              <w:bottom w:val="nil"/>
              <w:right w:val="nil"/>
            </w:tcBorders>
            <w:shd w:val="clear" w:color="auto" w:fill="auto"/>
            <w:noWrap/>
            <w:tcMar>
              <w:top w:w="15" w:type="dxa"/>
              <w:left w:w="15" w:type="dxa"/>
              <w:bottom w:w="0" w:type="dxa"/>
              <w:right w:w="15" w:type="dxa"/>
            </w:tcMar>
            <w:vAlign w:val="bottom"/>
          </w:tcPr>
          <w:p w:rsidR="007905BA" w:rsidRDefault="007905BA" w:rsidP="007905BA">
            <w:pPr>
              <w:rPr>
                <w:rFonts w:ascii="Arial" w:hAnsi="Arial" w:cs="Arial"/>
                <w:vanish/>
                <w:sz w:val="20"/>
                <w:szCs w:val="20"/>
              </w:rPr>
            </w:pPr>
          </w:p>
        </w:tc>
      </w:tr>
    </w:tbl>
    <w:p w:rsidR="007905BA" w:rsidRDefault="007905BA" w:rsidP="007905BA"/>
    <w:p w:rsidR="00655009" w:rsidRPr="007905BA" w:rsidRDefault="00655009"/>
    <w:sectPr w:rsidR="00655009" w:rsidRPr="007905BA" w:rsidSect="00633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8" w:rsidRDefault="007615B8" w:rsidP="00DF4CEA">
      <w:r>
        <w:separator/>
      </w:r>
    </w:p>
  </w:endnote>
  <w:endnote w:type="continuationSeparator" w:id="0">
    <w:p w:rsidR="007615B8" w:rsidRDefault="007615B8" w:rsidP="00DF4CE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8" w:rsidRDefault="007615B8" w:rsidP="00DF4CEA">
      <w:r>
        <w:separator/>
      </w:r>
    </w:p>
  </w:footnote>
  <w:footnote w:type="continuationSeparator" w:id="0">
    <w:p w:rsidR="007615B8" w:rsidRDefault="007615B8" w:rsidP="00DF4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DAE"/>
    <w:rsid w:val="000227CC"/>
    <w:rsid w:val="00027583"/>
    <w:rsid w:val="0005797A"/>
    <w:rsid w:val="000A753F"/>
    <w:rsid w:val="000D6913"/>
    <w:rsid w:val="00135BA0"/>
    <w:rsid w:val="00146D27"/>
    <w:rsid w:val="00154572"/>
    <w:rsid w:val="001865A9"/>
    <w:rsid w:val="001A45C6"/>
    <w:rsid w:val="00210D2C"/>
    <w:rsid w:val="0027417E"/>
    <w:rsid w:val="00277E96"/>
    <w:rsid w:val="00295EA9"/>
    <w:rsid w:val="002F132B"/>
    <w:rsid w:val="00320B72"/>
    <w:rsid w:val="003309F6"/>
    <w:rsid w:val="003311D3"/>
    <w:rsid w:val="00371193"/>
    <w:rsid w:val="003D5254"/>
    <w:rsid w:val="00421DBC"/>
    <w:rsid w:val="00422096"/>
    <w:rsid w:val="00465368"/>
    <w:rsid w:val="00507C7E"/>
    <w:rsid w:val="005365FF"/>
    <w:rsid w:val="005530C8"/>
    <w:rsid w:val="005A4855"/>
    <w:rsid w:val="005B3C15"/>
    <w:rsid w:val="00610E39"/>
    <w:rsid w:val="0063349A"/>
    <w:rsid w:val="0063730A"/>
    <w:rsid w:val="00655009"/>
    <w:rsid w:val="00687228"/>
    <w:rsid w:val="006B065A"/>
    <w:rsid w:val="006E5E74"/>
    <w:rsid w:val="007471FF"/>
    <w:rsid w:val="007615B8"/>
    <w:rsid w:val="007615EF"/>
    <w:rsid w:val="007905BA"/>
    <w:rsid w:val="007D410D"/>
    <w:rsid w:val="00857DAE"/>
    <w:rsid w:val="008B69AC"/>
    <w:rsid w:val="0099571D"/>
    <w:rsid w:val="009B2F6A"/>
    <w:rsid w:val="009D57D9"/>
    <w:rsid w:val="00A63BDD"/>
    <w:rsid w:val="00A919F2"/>
    <w:rsid w:val="00A970CD"/>
    <w:rsid w:val="00AB1312"/>
    <w:rsid w:val="00AB15D9"/>
    <w:rsid w:val="00AE42C0"/>
    <w:rsid w:val="00B10E19"/>
    <w:rsid w:val="00B15E35"/>
    <w:rsid w:val="00B6380C"/>
    <w:rsid w:val="00B869C7"/>
    <w:rsid w:val="00B948BC"/>
    <w:rsid w:val="00BE0B02"/>
    <w:rsid w:val="00BF549A"/>
    <w:rsid w:val="00C10620"/>
    <w:rsid w:val="00C37A85"/>
    <w:rsid w:val="00C87E85"/>
    <w:rsid w:val="00C9508A"/>
    <w:rsid w:val="00CD2CA9"/>
    <w:rsid w:val="00CE3F84"/>
    <w:rsid w:val="00CE6115"/>
    <w:rsid w:val="00CF3DEA"/>
    <w:rsid w:val="00D159A7"/>
    <w:rsid w:val="00D74E9C"/>
    <w:rsid w:val="00DC3C89"/>
    <w:rsid w:val="00DF4CEA"/>
    <w:rsid w:val="00E2688E"/>
    <w:rsid w:val="00E504B2"/>
    <w:rsid w:val="00E632B8"/>
    <w:rsid w:val="00E86A5D"/>
    <w:rsid w:val="00E9615F"/>
    <w:rsid w:val="00EA1C55"/>
    <w:rsid w:val="00EA7D5C"/>
    <w:rsid w:val="00EC507F"/>
    <w:rsid w:val="00F051B3"/>
    <w:rsid w:val="00F66D21"/>
    <w:rsid w:val="00F74F9B"/>
    <w:rsid w:val="00FD5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E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10D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CEA"/>
    <w:rPr>
      <w:sz w:val="18"/>
      <w:szCs w:val="18"/>
    </w:rPr>
  </w:style>
  <w:style w:type="paragraph" w:styleId="a4">
    <w:name w:val="footer"/>
    <w:basedOn w:val="a"/>
    <w:link w:val="Char0"/>
    <w:uiPriority w:val="99"/>
    <w:unhideWhenUsed/>
    <w:rsid w:val="00DF4CEA"/>
    <w:pPr>
      <w:tabs>
        <w:tab w:val="center" w:pos="4153"/>
        <w:tab w:val="right" w:pos="8306"/>
      </w:tabs>
      <w:snapToGrid w:val="0"/>
      <w:jc w:val="left"/>
    </w:pPr>
    <w:rPr>
      <w:sz w:val="18"/>
      <w:szCs w:val="18"/>
    </w:rPr>
  </w:style>
  <w:style w:type="character" w:customStyle="1" w:styleId="Char0">
    <w:name w:val="页脚 Char"/>
    <w:basedOn w:val="a0"/>
    <w:link w:val="a4"/>
    <w:uiPriority w:val="99"/>
    <w:rsid w:val="00DF4CEA"/>
    <w:rPr>
      <w:sz w:val="18"/>
      <w:szCs w:val="18"/>
    </w:rPr>
  </w:style>
  <w:style w:type="character" w:customStyle="1" w:styleId="4Char">
    <w:name w:val="闻政标题4 Char"/>
    <w:link w:val="4"/>
    <w:qFormat/>
    <w:locked/>
    <w:rsid w:val="00210D2C"/>
    <w:rPr>
      <w:rFonts w:ascii="仿宋_GB2312" w:eastAsia="仿宋_GB2312"/>
      <w:b/>
      <w:bCs/>
      <w:sz w:val="28"/>
      <w:szCs w:val="32"/>
    </w:rPr>
  </w:style>
  <w:style w:type="paragraph" w:customStyle="1" w:styleId="4">
    <w:name w:val="闻政标题4"/>
    <w:basedOn w:val="2"/>
    <w:link w:val="4Char"/>
    <w:qFormat/>
    <w:rsid w:val="00210D2C"/>
    <w:pPr>
      <w:spacing w:before="120" w:after="60" w:line="500" w:lineRule="exact"/>
      <w:ind w:firstLineChars="200" w:firstLine="200"/>
      <w:jc w:val="left"/>
    </w:pPr>
    <w:rPr>
      <w:rFonts w:ascii="仿宋_GB2312" w:eastAsia="仿宋_GB2312" w:hAnsiTheme="minorHAnsi" w:cstheme="minorBidi"/>
      <w:sz w:val="28"/>
    </w:rPr>
  </w:style>
  <w:style w:type="character" w:customStyle="1" w:styleId="2Char">
    <w:name w:val="标题 2 Char"/>
    <w:basedOn w:val="a0"/>
    <w:link w:val="2"/>
    <w:uiPriority w:val="9"/>
    <w:semiHidden/>
    <w:rsid w:val="00210D2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9525919">
      <w:bodyDiv w:val="1"/>
      <w:marLeft w:val="0"/>
      <w:marRight w:val="0"/>
      <w:marTop w:val="0"/>
      <w:marBottom w:val="0"/>
      <w:divBdr>
        <w:top w:val="none" w:sz="0" w:space="0" w:color="auto"/>
        <w:left w:val="none" w:sz="0" w:space="0" w:color="auto"/>
        <w:bottom w:val="none" w:sz="0" w:space="0" w:color="auto"/>
        <w:right w:val="none" w:sz="0" w:space="0" w:color="auto"/>
      </w:divBdr>
    </w:div>
    <w:div w:id="336882733">
      <w:bodyDiv w:val="1"/>
      <w:marLeft w:val="0"/>
      <w:marRight w:val="0"/>
      <w:marTop w:val="0"/>
      <w:marBottom w:val="0"/>
      <w:divBdr>
        <w:top w:val="none" w:sz="0" w:space="0" w:color="auto"/>
        <w:left w:val="none" w:sz="0" w:space="0" w:color="auto"/>
        <w:bottom w:val="none" w:sz="0" w:space="0" w:color="auto"/>
        <w:right w:val="none" w:sz="0" w:space="0" w:color="auto"/>
      </w:divBdr>
    </w:div>
    <w:div w:id="857545195">
      <w:bodyDiv w:val="1"/>
      <w:marLeft w:val="0"/>
      <w:marRight w:val="0"/>
      <w:marTop w:val="0"/>
      <w:marBottom w:val="0"/>
      <w:divBdr>
        <w:top w:val="none" w:sz="0" w:space="0" w:color="auto"/>
        <w:left w:val="none" w:sz="0" w:space="0" w:color="auto"/>
        <w:bottom w:val="none" w:sz="0" w:space="0" w:color="auto"/>
        <w:right w:val="none" w:sz="0" w:space="0" w:color="auto"/>
      </w:divBdr>
    </w:div>
    <w:div w:id="913858109">
      <w:bodyDiv w:val="1"/>
      <w:marLeft w:val="0"/>
      <w:marRight w:val="0"/>
      <w:marTop w:val="0"/>
      <w:marBottom w:val="0"/>
      <w:divBdr>
        <w:top w:val="none" w:sz="0" w:space="0" w:color="auto"/>
        <w:left w:val="none" w:sz="0" w:space="0" w:color="auto"/>
        <w:bottom w:val="none" w:sz="0" w:space="0" w:color="auto"/>
        <w:right w:val="none" w:sz="0" w:space="0" w:color="auto"/>
      </w:divBdr>
    </w:div>
    <w:div w:id="14769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2022-01-12T10:53:00Z</dcterms:created>
  <dc:creator>成 王</dc:creator>
  <cp:lastModifiedBy>HP</cp:lastModifiedBy>
  <dcterms:modified xsi:type="dcterms:W3CDTF">2022-01-14T06:53:00Z</dcterms:modified>
  <cp:revision>49</cp:revision>
</cp:coreProperties>
</file>