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
<Relationship Id="rId1" Target="docProps/app.xml" Type="http://schemas.openxmlformats.org/officeDocument/2006/relationships/extended-properties"/>
<Relationship Id="rId2" Target="docProps/core.xml" Type="http://schemas.openxmlformats.org/package/2006/relationships/metadata/core-properties"/>
<Relationship Id="rId3" Target="docProps/custom.xml" Type="http://schemas.openxmlformats.org/officeDocument/2006/relationships/custom-properties"/>
<Relationship Id="rId4" Target="word/document.xml" Type="http://schemas.openxmlformats.org/officeDocument/2006/relationships/officeDocument"/>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D7DC1">
      <w:pPr>
        <w:rPr>
          <w:rFonts w:eastAsia="仿宋_GB2312"/>
          <w:sz w:val="30"/>
        </w:rPr>
      </w:pPr>
    </w:p>
    <w:p w14:paraId="2A6F3B9F">
      <w:pPr>
        <w:spacing w:line="360" w:lineRule="auto"/>
        <w:jc w:val="center"/>
        <w:rPr>
          <w:rFonts w:ascii="黑体" w:hAnsi="黑体" w:eastAsia="黑体"/>
          <w:sz w:val="32"/>
          <w:szCs w:val="32"/>
        </w:rPr>
      </w:pPr>
      <w:r>
        <w:rPr>
          <w:rFonts w:hint="eastAsia" w:ascii="黑体" w:hAnsi="黑体" w:eastAsia="黑体"/>
          <w:sz w:val="32"/>
          <w:szCs w:val="32"/>
        </w:rPr>
        <w:t>苏州市市级预算部门（单位）整体支出预算绩效自评报告</w:t>
      </w:r>
    </w:p>
    <w:p w14:paraId="4A05E983">
      <w:pPr>
        <w:spacing w:line="360" w:lineRule="auto"/>
        <w:jc w:val="center"/>
        <w:rPr>
          <w:rFonts w:ascii="黑体" w:eastAsia="黑体"/>
          <w:sz w:val="32"/>
          <w:szCs w:val="32"/>
        </w:rPr>
      </w:pPr>
      <w:r>
        <w:rPr>
          <w:rFonts w:hint="eastAsia" w:ascii="黑体" w:eastAsia="黑体"/>
          <w:sz w:val="32"/>
          <w:szCs w:val="32"/>
        </w:rPr>
        <w:t>（202</w:t>
      </w:r>
      <w:r>
        <w:rPr>
          <w:rFonts w:hint="eastAsia" w:ascii="黑体" w:eastAsia="黑体"/>
          <w:sz w:val="32"/>
          <w:szCs w:val="32"/>
          <w:lang w:val="en-US" w:eastAsia="zh-CN"/>
        </w:rPr>
        <w:t>5</w:t>
      </w:r>
      <w:bookmarkStart w:id="0" w:name="_GoBack"/>
      <w:bookmarkEnd w:id="0"/>
      <w:r>
        <w:rPr>
          <w:rFonts w:hint="eastAsia" w:ascii="黑体" w:eastAsia="黑体"/>
          <w:sz w:val="32"/>
          <w:szCs w:val="32"/>
        </w:rPr>
        <w:t>年度）</w:t>
      </w:r>
    </w:p>
    <w:p w14:paraId="2D0D461F">
      <w:pPr>
        <w:spacing w:line="360" w:lineRule="auto"/>
        <w:jc w:val="center"/>
        <w:rPr>
          <w:rFonts w:eastAsia="仿宋_GB2312"/>
          <w:sz w:val="30"/>
        </w:rPr>
      </w:pPr>
    </w:p>
    <w:p w14:paraId="0B85D768">
      <w:pPr>
        <w:spacing w:line="360" w:lineRule="auto"/>
        <w:ind w:firstLine="600" w:firstLineChars="200"/>
        <w:rPr>
          <w:rFonts w:ascii="黑体" w:hAnsi="黑体" w:eastAsia="黑体"/>
          <w:sz w:val="30"/>
        </w:rPr>
      </w:pPr>
      <w:r>
        <w:rPr>
          <w:rFonts w:hint="eastAsia" w:ascii="黑体" w:hAnsi="黑体" w:eastAsia="黑体"/>
          <w:sz w:val="30"/>
        </w:rPr>
        <w:t>一、预算部门名称：</w:t>
      </w:r>
      <w:r>
        <w:rPr>
          <w:rFonts w:hint="eastAsia" w:ascii="宋体" w:hAnsi="宋体" w:cs="宋体"/>
          <w:sz w:val="24"/>
        </w:rPr>
        <w:t>苏州市人民政府国有资产监督管理委员会</w:t>
      </w:r>
    </w:p>
    <w:p w14:paraId="58F772EF">
      <w:pPr>
        <w:spacing w:line="360" w:lineRule="auto"/>
        <w:ind w:firstLine="600" w:firstLineChars="200"/>
        <w:rPr>
          <w:rFonts w:ascii="黑体" w:hAnsi="黑体" w:eastAsia="黑体"/>
          <w:sz w:val="30"/>
        </w:rPr>
      </w:pPr>
      <w:r>
        <w:rPr>
          <w:rFonts w:hint="eastAsia" w:ascii="黑体" w:hAnsi="黑体" w:eastAsia="黑体"/>
          <w:sz w:val="30"/>
        </w:rPr>
        <w:t>二、</w:t>
      </w:r>
      <w:r>
        <w:rPr>
          <w:rFonts w:ascii="黑体" w:hAnsi="黑体" w:eastAsia="黑体"/>
          <w:sz w:val="30"/>
        </w:rPr>
        <w:t>年度履职目标完成情况</w:t>
      </w:r>
      <w:r>
        <w:rPr>
          <w:rFonts w:hint="eastAsia" w:ascii="黑体" w:hAnsi="黑体" w:eastAsia="黑体"/>
          <w:sz w:val="30"/>
        </w:rPr>
        <w:t>：</w:t>
      </w:r>
    </w:p>
    <w:p w14:paraId="612F7DFF">
      <w:pPr>
        <w:spacing w:line="360" w:lineRule="auto"/>
        <w:ind w:firstLine="480" w:firstLineChars="200"/>
        <w:rPr>
          <w:rFonts w:ascii="宋体" w:hAnsi="宋体" w:cs="宋体"/>
          <w:sz w:val="24"/>
        </w:rPr>
      </w:pPr>
      <w:r>
        <w:rPr>
          <w:rFonts w:hint="eastAsia" w:ascii="宋体" w:hAnsi="宋体" w:cs="宋体"/>
          <w:sz w:val="24"/>
        </w:rPr>
        <w:t>2025年，在市委、市政府的坚强领导下，市国资委深入贯彻落实党的二十大和二十届历次全会精神，紧紧围绕全市经济社会发展大局，高质量收官国企改革深化提升行动，扎实推进国有企业提质增效、转型升级，着力增强国企核心功能，提升核心竞争力，为全市经济社会高质量发展注入强劲动力。（1）深化改革激活发展活力。一是持续深化国资国企改革。高质量收官国有企业改革深化提升行动。二是坚持推进市场化转型。进一步深化经理层成员任期制和契约化管理，全面实施末等调整和不胜任退出制度。持续推进市属企业内部薪酬分配改革，建立健全全员绩效考核体系。指导监管企业实施中长期激励。持续推进人力资源市场化管理，实施市属国企人才强企专项行动，严把国企“进人关”。 强化市属国有企业用工管理。三是科学谋划国资国企未来发展。持续推进市属国资国企改革发展“十五五”规划编制工作，通过组织开展专家论证会等形式集中研究并完善规划内容。（2）强化投资牵引服务大局。一是推动国资发力重大战略。积极引导国有资本向“一带一路”、长江经济带、长三角一体化、自贸区建设、城市更新等国家战略聚焦发力，创元集团旗下苏州金龙、苏净、苏瓷等企业海外市场规模持续扩大；统筹推进对口支援协作合作和南北挂钩工作，推进成立3亿元苏信产业基金；稳步推进保障性住房筹集建设；持续推进古城保护更新，平江历史文化街区保护提升项目成功入选全国文化保护传承利用工程；推动粮食储备仓容建设项目和县级市（区）涉粮国资股权整合，夯实粮食安全“压舱石”。二是发挥重大项目及载体拉动作用。加快推进高铁苏州北站综合枢纽、量子科技产业园、太仓港综合服务配套项目、中德（昆山）国际智能制造产业园等重大项目及载体建设。三是不断深化国有资产盘活利用。修订市属国企不动产租赁管理办法，强化市属国有企业主体责任，在规范性前提下给予企业自主灵活性，推进企业盘活资产。（3）创新驱动提升核心能力。一是积极引导国企科技创新。支持国有企业与科研院所合作，广泛开展科技成果转化及产业化应用。在今年的高质量考核中，进一步引导企业持续加强研发投入，研发投入较上年增长15%以上，全年市属制造类企业研发投入强度将近5%。二是大力发展战新产业。印发支持发展战略性新兴产业和未来产业的若干措施。三是积极发挥基金资本赋能作用。指导国企积极参与苏州市第二批战新基金等，实现对前沿领域早期项目的系统性覆盖与精准扶持。牵头推进规模500亿元的江苏社保科创（苏州）基金设立及实质化运作投资。指导国投集团加快推进规模100亿元的苏州重大产业发展基金落地运作。四是统筹部署“人工智能+”专项行动。举办“国资大讲堂”等专题培训，邀请人工智能领域专家学者对市属国企领导人员进行发展理念更新。印发市属国企人工智能人才招聘相关工作的通知。指导市属国企先后建设“人工智能+”领域相关实验室15个（其中，省级实验室3个），加快国企场景应用开放。（4）健全监管筑牢防风险底线。一是落实巡视整改工作。对照巡视反馈问题清单，根据省委巡视发现问题“立行立改”工作要求，按计划有序推进各项整改任务。二是强化数字化监管应用。上线运行苏州智慧国资国企综合平台，构建“1+2+3+N”一体化架构，涵盖国资监管端、国企应用端和云存储硬件服务三大核心板块，逐步实现国有资产动态监控、风险预警与企业运营管理等核心功能的系统集成，平台建设成效获2025年“数据要素X”大赛江苏省分赛二等奖。三是持续履行出资人监管职责。加强投资风险管控，制定监管企业投资项目负面清单，加强监管企业参股管理。完成国企取消监事会改革工作。完成年度省地方金融服务实体经济和风险防控审计问题整改任务，扎实推进国企改革和监管突出问题、招投标领域突出问题系统整治。（5）党建引领夯实基层根基。一是发挥党委“把方向、管大局、保落实”的作用。强化党对国企的领导，指导市属国企按新要求完善党委前置研究重大经营管理事项清单，推动党支部（党总支）参与重大问题决策工作全面规范落实。抓好市委巡察反馈问题整改，44项整改措施全部到位，制定出台相关35个制度性文件。二是持续深化理论武装。扎实开展深入贯彻中央八项规定精神学习教育。加强对市属国企督促指导，建立6项督导机制，确定7家市级层面工作专班基层观察点，14家市属国企党委开展理论学习中心组巡学旁听实现全覆盖。三是建强国企基层堡垒。摸排255家新设企业、9家重组企业党组织建设情况，指导整合重组企业党组织与生产经营实现“四同步四对接”。贯彻落实全国和省、全市党员教育培训规划要求，分5期组织系统内536名基层党组织书记轮训全覆盖，组织256名基层党务工作者集中培训。新增260名党务工作者“持证上岗”，挖掘25个党员教育典型案例、市属国企优秀“行动支部”10个。</w:t>
      </w:r>
    </w:p>
    <w:p w14:paraId="5F3839C4">
      <w:pPr>
        <w:spacing w:line="360" w:lineRule="auto"/>
        <w:ind w:left="600"/>
        <w:rPr>
          <w:rFonts w:ascii="黑体" w:hAnsi="黑体" w:eastAsia="黑体"/>
          <w:sz w:val="30"/>
        </w:rPr>
      </w:pPr>
      <w:r>
        <w:rPr>
          <w:rFonts w:hint="eastAsia" w:ascii="黑体" w:hAnsi="黑体" w:eastAsia="黑体"/>
          <w:sz w:val="30"/>
        </w:rPr>
        <w:t>三、部门（单位）概况</w:t>
      </w:r>
    </w:p>
    <w:p w14:paraId="7D338969">
      <w:pPr>
        <w:spacing w:line="360" w:lineRule="auto"/>
        <w:ind w:firstLine="480" w:firstLineChars="200"/>
        <w:rPr>
          <w:rFonts w:ascii="宋体" w:hAnsi="宋体" w:cs="宋体"/>
          <w:sz w:val="24"/>
        </w:rPr>
      </w:pPr>
      <w:r>
        <w:rPr>
          <w:rFonts w:hint="eastAsia" w:ascii="宋体" w:hAnsi="宋体" w:cs="宋体"/>
          <w:sz w:val="24"/>
        </w:rPr>
        <w:t>（一）苏州市国资委为财政全额拨款的行政单位（行政二档），无下属单位。主要职能如下：（1）根据市政府授权，依照《中华人民共和国公司法》《中华人民共和国企业国有资产法》等法律和行政法规履行出资人职责，监管市属企业的国有资产，加强国有资产的管理工作。（2）承担监督所监管企业国有资产保值增值的责任，建立和完善国有资产保值增值指标体系，拟订考核标准，通过统计、稽核对所监管企业国有资产的保值增值情况进行监管，负责所监管企业工资分配管理工作，拟订所监管企业负责人收入分配政策并组织实施。（3）指导推进国有企业改革和重组，推进国有企业的现代企业制度建设，完善公司治理结构，推动国有经济布局和结构的战略性调整。（4）按照规定程序对市属国有企业国资方董事进行委派、更换、考核并根据其经营业绩进行奖惩，完善经营者激励和约束制度。（5）督促市属国有企业对在巡视、巡察、审计和监督检查中发现的共性问题进行整改，组织国有资产重大损失调查，提出意见建议。（6）负责组织所监管企业上交国有资本收益，会同有关部门拟订国有资本经营预算有关管理制度和办法，按照有关规定负责国有资本经营预决算编制和执行等工作。（7）按照出资人职责，负责督促检查所监管企业贯彻落实国家安全生产方针政策及有关法律法规、标准等工作。（8）负责企业国有资产基础管理，起草国有资产管理的地方性法规、规章草案，拟订有关规章、制度，按照有关规定对县级市、区国有资产管理工作进行指导和监督。（9）负责市属国有企业基层党建工作，指导市属国有企业社会主义精神文明建设。（10）完成市委、市政府交办的其他任务。（二）机构情况及人员情况：苏州市国资委目前内设七个职能处室：分别是办公室(信息处）、考核评价处（政策法规处）、产权管理处、发展改革处（安全管理处）、督查处、机关党委（党建工作处）、企业人才处（组织人事处）。本部门无下属单位。截止2025年末，单位在职人员编制数为 35 人，其中行政编制30人，公益性岗位编制5人，单位实有在职人员32人，其中行政人员27人、公益性岗位人员5人。退休人员18人。</w:t>
      </w:r>
    </w:p>
    <w:p w14:paraId="201729EA">
      <w:pPr>
        <w:spacing w:line="360" w:lineRule="auto"/>
        <w:ind w:left="600"/>
        <w:rPr>
          <w:rFonts w:ascii="黑体" w:hAnsi="黑体" w:eastAsia="黑体"/>
          <w:sz w:val="30"/>
        </w:rPr>
      </w:pPr>
      <w:r>
        <w:rPr>
          <w:rFonts w:hint="eastAsia" w:ascii="黑体" w:hAnsi="黑体" w:eastAsia="黑体"/>
          <w:sz w:val="30"/>
        </w:rPr>
        <w:t>四、部门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整体支出绩效实现情况</w:t>
      </w:r>
    </w:p>
    <w:p w14:paraId="7D81C34A">
      <w:pPr>
        <w:spacing w:line="360" w:lineRule="auto"/>
        <w:ind w:firstLine="480" w:firstLineChars="200"/>
        <w:rPr>
          <w:rFonts w:ascii="宋体" w:hAnsi="宋体" w:cs="宋体"/>
          <w:sz w:val="24"/>
        </w:rPr>
      </w:pPr>
      <w:r>
        <w:rPr>
          <w:rFonts w:hint="eastAsia" w:ascii="宋体" w:hAnsi="宋体" w:cs="宋体"/>
          <w:sz w:val="24"/>
        </w:rPr>
        <w:t>2025年部门收入年初预算1584.54万元，部门收入全年预算40536.77万元。根据2025年部门决算数据，2025年部门全年收入40536.77万元，其中，一般公共预算财政拨款收入39889.93万元，占全部收入的98.4%；国有资本经营预算财政拨款收入646.84万元，占全部收入的1.6%；年初结转和结余0万元。2025年部门支出年初预算1584.54万元，部门支出全年预算40536.77万元。根据2025年部门决算数据，2025年部门全年支出40536.77万元，按支出用途划分，基本支出1634.69万元，占总支出的4.03%；项目支出38902.07万元，占总支出的95.97%。2025年“三公”经费财政拨款支出年初预算合计5.05万元，根据2025年部门决算数据，“三公”经费支出合计14.69万元，其中，因公出国（境）费11.74万元，占“三公”经费支出数的80%；公务用车购置及运行维护费0.0034万元；公务接待费支出2.94万元，占“三公”经费支出数的20%。</w:t>
      </w:r>
    </w:p>
    <w:p w14:paraId="1B2DC329">
      <w:pPr>
        <w:spacing w:line="360" w:lineRule="auto"/>
        <w:ind w:left="600"/>
        <w:rPr>
          <w:rFonts w:ascii="黑体" w:hAnsi="黑体" w:eastAsia="黑体"/>
          <w:sz w:val="30"/>
        </w:rPr>
      </w:pPr>
      <w:r>
        <w:rPr>
          <w:rFonts w:hint="eastAsia" w:ascii="黑体" w:hAnsi="黑体" w:eastAsia="黑体"/>
          <w:sz w:val="30"/>
        </w:rPr>
        <w:t>五、部门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整体支出绩效中存</w:t>
      </w:r>
      <w:r>
        <w:rPr>
          <w:rFonts w:ascii="黑体" w:hAnsi="黑体" w:eastAsia="黑体"/>
          <w:sz w:val="30"/>
        </w:rPr>
        <w:t>在问题</w:t>
      </w:r>
      <w:r>
        <w:rPr>
          <w:rFonts w:hint="eastAsia" w:ascii="黑体" w:hAnsi="黑体" w:eastAsia="黑体"/>
          <w:sz w:val="30"/>
        </w:rPr>
        <w:t>及</w:t>
      </w:r>
      <w:r>
        <w:rPr>
          <w:rFonts w:ascii="黑体" w:hAnsi="黑体" w:eastAsia="黑体"/>
          <w:sz w:val="30"/>
        </w:rPr>
        <w:t>改进措施</w:t>
      </w:r>
    </w:p>
    <w:p w14:paraId="626F8FAD">
      <w:pPr>
        <w:spacing w:line="360" w:lineRule="auto"/>
        <w:ind w:firstLine="480" w:firstLineChars="200"/>
        <w:rPr>
          <w:rFonts w:ascii="宋体" w:hAnsi="宋体" w:cs="宋体"/>
          <w:sz w:val="24"/>
        </w:rPr>
      </w:pPr>
      <w:r>
        <w:rPr>
          <w:rFonts w:hint="eastAsia" w:ascii="宋体" w:hAnsi="宋体" w:cs="宋体"/>
          <w:sz w:val="24"/>
        </w:rPr>
        <w:t>预算资金使用计划性有待加强，完善用款计划管理，更科学合理的编制资金使用计划，进一步细化收支项目，按项目、按时间、按进度支出，提高资金的使用效益。</w:t>
      </w:r>
    </w:p>
    <w:p w14:paraId="088B966C">
      <w:pPr>
        <w:spacing w:line="360" w:lineRule="auto"/>
        <w:ind w:left="600"/>
        <w:rPr>
          <w:rFonts w:ascii="黑体" w:hAnsi="黑体" w:eastAsia="黑体"/>
          <w:sz w:val="30"/>
        </w:rPr>
      </w:pPr>
      <w:r>
        <w:rPr>
          <w:rFonts w:hint="eastAsia" w:ascii="黑体" w:hAnsi="黑体" w:eastAsia="黑体"/>
          <w:sz w:val="30"/>
        </w:rPr>
        <w:t>六、</w:t>
      </w:r>
      <w:r>
        <w:rPr>
          <w:rFonts w:ascii="黑体" w:hAnsi="黑体" w:eastAsia="黑体"/>
          <w:sz w:val="30"/>
        </w:rPr>
        <w:t>绩效自评</w:t>
      </w:r>
      <w:r>
        <w:rPr>
          <w:rFonts w:hint="eastAsia" w:ascii="黑体" w:hAnsi="黑体" w:eastAsia="黑体"/>
          <w:sz w:val="30"/>
        </w:rPr>
        <w:t>结果</w:t>
      </w:r>
      <w:r>
        <w:rPr>
          <w:rFonts w:ascii="黑体" w:hAnsi="黑体" w:eastAsia="黑体"/>
          <w:sz w:val="30"/>
        </w:rPr>
        <w:t>拟应用和公开</w:t>
      </w:r>
      <w:r>
        <w:rPr>
          <w:rFonts w:hint="eastAsia" w:ascii="黑体" w:hAnsi="黑体" w:eastAsia="黑体"/>
          <w:sz w:val="30"/>
        </w:rPr>
        <w:t>情况</w:t>
      </w:r>
    </w:p>
    <w:p w14:paraId="19BBA852">
      <w:pPr>
        <w:spacing w:line="360" w:lineRule="auto"/>
        <w:ind w:firstLine="480" w:firstLineChars="200"/>
        <w:rPr>
          <w:rFonts w:ascii="宋体" w:hAnsi="宋体" w:cs="宋体"/>
          <w:sz w:val="24"/>
        </w:rPr>
      </w:pPr>
      <w:r>
        <w:rPr>
          <w:rFonts w:hint="eastAsia" w:ascii="宋体" w:hAnsi="宋体" w:cs="宋体"/>
          <w:sz w:val="24"/>
        </w:rPr>
        <w:t>结合最终评价结果，严格按照工作计划，合理安排预算资金使用，加强预算管理制度建设。同时将评价结果按照政府信息公开的方式进行公开,加强社会公众对财政资金使用效益的监督 。</w:t>
      </w:r>
    </w:p>
    <w:p w14:paraId="77536DBD">
      <w:pPr>
        <w:spacing w:line="360" w:lineRule="auto"/>
        <w:rPr>
          <w:rFonts w:ascii="黑体" w:hAnsi="黑体" w:eastAsia="黑体"/>
          <w:sz w:val="30"/>
        </w:rPr>
        <w:sectPr>
          <w:headerReference r:id="rId3" w:type="default"/>
          <w:footerReference r:id="rId5" w:type="default"/>
          <w:headerReference r:id="rId4" w:type="even"/>
          <w:footerReference r:id="rId6" w:type="even"/>
          <w:pgSz w:w="11907" w:h="16840"/>
          <w:pgMar w:top="1247" w:right="1400" w:bottom="1089" w:left="1559" w:header="851" w:footer="992" w:gutter="0"/>
          <w:paperSrc w:first="15" w:other="15"/>
          <w:cols w:space="720" w:num="1"/>
          <w:docGrid w:type="lines" w:linePitch="312" w:charSpace="0"/>
        </w:sectPr>
      </w:pPr>
    </w:p>
    <w:p w14:paraId="280D262C">
      <w:pPr>
        <w:numPr>
          <w:ilvl w:val="0"/>
          <w:numId w:val="1"/>
        </w:numPr>
        <w:spacing w:line="360" w:lineRule="auto"/>
        <w:ind w:left="600"/>
        <w:rPr>
          <w:rFonts w:ascii="黑体" w:hAnsi="黑体" w:eastAsia="黑体"/>
          <w:sz w:val="30"/>
        </w:rPr>
      </w:pPr>
      <w:r>
        <w:rPr>
          <w:rFonts w:hint="eastAsia" w:ascii="黑体" w:hAnsi="黑体" w:eastAsia="黑体"/>
          <w:sz w:val="30"/>
        </w:rPr>
        <w:t>预算信息</w:t>
      </w:r>
    </w:p>
    <w:p w14:paraId="6B7F7FE6">
      <w:pPr>
        <w:spacing w:line="360" w:lineRule="auto"/>
        <w:ind w:left="600"/>
        <w:rPr>
          <w:rFonts w:ascii="黑体" w:hAnsi="黑体" w:eastAsia="黑体"/>
          <w:sz w:val="30"/>
        </w:rPr>
      </w:pPr>
    </w:p>
    <w:tbl>
      <w:tblPr>
        <w:tblStyle w:val="5"/>
        <w:tblW w:w="14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9"/>
        <w:gridCol w:w="2268"/>
        <w:gridCol w:w="2268"/>
        <w:gridCol w:w="2268"/>
        <w:gridCol w:w="2268"/>
        <w:gridCol w:w="2268"/>
      </w:tblGrid>
      <w:tr w14:paraId="7D63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079" w:type="dxa"/>
            <w:shd w:val="clear" w:color="000000" w:fill="BFBFBF"/>
            <w:vAlign w:val="center"/>
          </w:tcPr>
          <w:p w14:paraId="4BC6E322">
            <w:pPr>
              <w:widowControl/>
              <w:jc w:val="center"/>
              <w:rPr>
                <w:rFonts w:ascii="宋体" w:hAnsi="宋体" w:cs="宋体"/>
                <w:b/>
                <w:bCs/>
                <w:kern w:val="0"/>
                <w:sz w:val="24"/>
              </w:rPr>
            </w:pPr>
            <w:r>
              <w:rPr>
                <w:rFonts w:hint="eastAsia" w:ascii="宋体" w:hAnsi="宋体" w:cs="宋体"/>
                <w:b/>
                <w:bCs/>
                <w:kern w:val="0"/>
                <w:sz w:val="24"/>
              </w:rPr>
              <w:t>本年度预算资金（万元）</w:t>
            </w:r>
            <w:r>
              <w:rPr>
                <w:rFonts w:ascii="宋体" w:hAnsi="宋体" w:cs="宋体" w:eastAsia="宋体"/>
                <w:b w:val="true"/>
                <w:color w:val=""/>
                <w:sz w:val="24"/>
                <w:u w:val="none"/>
              </w:rPr>
              <w:t/>
            </w:r>
          </w:p>
        </w:tc>
        <w:tc>
          <w:tcPr>
            <w:tcW w:w="2268" w:type="dxa"/>
            <w:shd w:val="clear" w:color="000000" w:fill="BFBFBF"/>
            <w:vAlign w:val="center"/>
          </w:tcPr>
          <w:p w14:paraId="7E2E6F84">
            <w:pPr>
              <w:widowControl/>
              <w:jc w:val="center"/>
              <w:rPr>
                <w:rFonts w:ascii="宋体" w:hAnsi="宋体" w:cs="宋体"/>
                <w:b/>
                <w:bCs/>
                <w:kern w:val="0"/>
                <w:sz w:val="24"/>
              </w:rPr>
            </w:pPr>
            <w:r>
              <w:rPr>
                <w:rFonts w:hint="eastAsia" w:ascii="宋体" w:hAnsi="宋体" w:cs="宋体"/>
                <w:b/>
                <w:bCs/>
                <w:kern w:val="0"/>
                <w:sz w:val="24"/>
              </w:rPr>
              <w:t>年初预算数（万元）</w:t>
            </w:r>
          </w:p>
        </w:tc>
        <w:tc>
          <w:tcPr>
            <w:tcW w:w="2268" w:type="dxa"/>
            <w:shd w:val="clear" w:color="000000" w:fill="BFBFBF"/>
            <w:vAlign w:val="center"/>
          </w:tcPr>
          <w:p w14:paraId="74B8B6D4">
            <w:pPr>
              <w:widowControl/>
              <w:jc w:val="center"/>
              <w:rPr>
                <w:rFonts w:ascii="宋体" w:hAnsi="宋体" w:cs="宋体"/>
                <w:b/>
                <w:bCs/>
                <w:kern w:val="0"/>
                <w:sz w:val="24"/>
              </w:rPr>
            </w:pPr>
            <w:r>
              <w:rPr>
                <w:rFonts w:hint="eastAsia" w:ascii="宋体" w:hAnsi="宋体" w:cs="宋体"/>
                <w:b/>
                <w:bCs/>
                <w:kern w:val="0"/>
                <w:sz w:val="24"/>
              </w:rPr>
              <w:t>上年度结转及当年预算追加追减数(万元）</w:t>
            </w:r>
          </w:p>
        </w:tc>
        <w:tc>
          <w:tcPr>
            <w:tcW w:w="2268" w:type="dxa"/>
            <w:shd w:val="clear" w:color="000000" w:fill="BFBFBF"/>
            <w:vAlign w:val="center"/>
          </w:tcPr>
          <w:p w14:paraId="218C2C18">
            <w:pPr>
              <w:widowControl/>
              <w:jc w:val="center"/>
              <w:rPr>
                <w:rFonts w:ascii="宋体" w:hAnsi="宋体" w:cs="宋体"/>
                <w:b/>
                <w:bCs/>
                <w:kern w:val="0"/>
                <w:sz w:val="24"/>
              </w:rPr>
            </w:pPr>
            <w:r>
              <w:rPr>
                <w:rFonts w:hint="eastAsia" w:ascii="宋体" w:hAnsi="宋体" w:cs="宋体"/>
                <w:b/>
                <w:bCs/>
                <w:kern w:val="0"/>
                <w:sz w:val="24"/>
              </w:rPr>
              <w:t>调整预算数（万元）</w:t>
            </w:r>
          </w:p>
        </w:tc>
        <w:tc>
          <w:tcPr>
            <w:tcW w:w="2268" w:type="dxa"/>
            <w:shd w:val="clear" w:color="000000" w:fill="BFBFBF"/>
            <w:vAlign w:val="center"/>
          </w:tcPr>
          <w:p w14:paraId="6C2574C8">
            <w:pPr>
              <w:widowControl/>
              <w:jc w:val="center"/>
              <w:rPr>
                <w:rFonts w:ascii="宋体" w:hAnsi="宋体" w:cs="宋体"/>
                <w:b/>
                <w:bCs/>
                <w:kern w:val="0"/>
                <w:sz w:val="24"/>
              </w:rPr>
            </w:pPr>
            <w:r>
              <w:rPr>
                <w:rFonts w:hint="eastAsia" w:ascii="宋体" w:hAnsi="宋体" w:cs="宋体"/>
                <w:b/>
                <w:bCs/>
                <w:kern w:val="0"/>
                <w:sz w:val="24"/>
              </w:rPr>
              <w:t>实际支出数（万元）</w:t>
            </w:r>
          </w:p>
        </w:tc>
        <w:tc>
          <w:tcPr>
            <w:tcW w:w="2268" w:type="dxa"/>
            <w:shd w:val="clear" w:color="000000" w:fill="BFBFBF"/>
            <w:vAlign w:val="center"/>
          </w:tcPr>
          <w:p w14:paraId="3899CF22">
            <w:pPr>
              <w:widowControl/>
              <w:jc w:val="center"/>
              <w:rPr>
                <w:rFonts w:ascii="宋体" w:hAnsi="宋体" w:cs="宋体"/>
                <w:b/>
                <w:bCs/>
                <w:kern w:val="0"/>
                <w:sz w:val="24"/>
              </w:rPr>
            </w:pPr>
            <w:r>
              <w:rPr>
                <w:rFonts w:hint="eastAsia" w:ascii="宋体" w:hAnsi="宋体" w:cs="宋体"/>
                <w:b/>
                <w:bCs/>
                <w:kern w:val="0"/>
                <w:sz w:val="24"/>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预算总金额</w:t>
            </w:r>
          </w:p>
        </w:tc>
        <w:tc>
          <w:tcPr>
            <w:tcW w:w="2268" w:type="dxa"/>
            <w:vAlign w:val="center"/>
          </w:tcPr>
          <w:p>
            <w:pPr>
              <w:widowControl/>
              <w:jc w:val="center"/>
              <w:rPr>
                <w:rFonts w:ascii="宋体" w:hAnsi="宋体" w:cs="宋体"/>
                <w:kern w:val="0"/>
                <w:sz w:val="24"/>
              </w:rPr>
            </w:pPr>
            <w:r>
              <w:rPr>
                <w:rFonts w:hint="eastAsia" w:ascii="宋体" w:hAnsi="宋体" w:cs="宋体"/>
                <w:sz w:val="24"/>
              </w:rPr>
              <w:t>1584.54</w:t>
            </w:r>
          </w:p>
        </w:tc>
        <w:tc>
          <w:tcPr>
            <w:tcW w:w="2268" w:type="dxa"/>
            <w:vAlign w:val="center"/>
          </w:tcPr>
          <w:p>
            <w:pPr>
              <w:widowControl/>
              <w:jc w:val="center"/>
              <w:rPr>
                <w:rFonts w:ascii="宋体" w:hAnsi="宋体" w:cs="宋体"/>
                <w:sz w:val="24"/>
              </w:rPr>
            </w:pPr>
            <w:r>
              <w:rPr>
                <w:rFonts w:hint="eastAsia" w:ascii="宋体" w:hAnsi="宋体" w:cs="宋体"/>
                <w:sz w:val="24"/>
              </w:rPr>
              <w:t>38952.22</w:t>
            </w:r>
          </w:p>
        </w:tc>
        <w:tc>
          <w:tcPr>
            <w:tcW w:w="2268" w:type="dxa"/>
            <w:vAlign w:val="center"/>
          </w:tcPr>
          <w:p>
            <w:pPr>
              <w:widowControl/>
              <w:jc w:val="center"/>
              <w:rPr>
                <w:rFonts w:ascii="宋体" w:hAnsi="宋体" w:cs="宋体"/>
                <w:sz w:val="24"/>
              </w:rPr>
            </w:pPr>
            <w:r>
              <w:rPr>
                <w:rFonts w:hint="eastAsia" w:ascii="宋体" w:hAnsi="宋体" w:cs="宋体"/>
                <w:sz w:val="24"/>
              </w:rPr>
              <w:t>40536.76</w:t>
            </w:r>
          </w:p>
        </w:tc>
        <w:tc>
          <w:tcPr>
            <w:tcW w:w="2268" w:type="dxa"/>
            <w:vAlign w:val="center"/>
          </w:tcPr>
          <w:p>
            <w:pPr>
              <w:widowControl/>
              <w:jc w:val="center"/>
              <w:rPr>
                <w:rFonts w:ascii="宋体" w:hAnsi="宋体" w:cs="宋体"/>
                <w:sz w:val="24"/>
              </w:rPr>
            </w:pPr>
            <w:r>
              <w:rPr>
                <w:rFonts w:hint="eastAsia" w:ascii="宋体" w:hAnsi="宋体" w:cs="宋体"/>
                <w:sz w:val="24"/>
              </w:rPr>
              <w:t>40536.76</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基本支出</w:t>
            </w:r>
          </w:p>
        </w:tc>
        <w:tc>
          <w:tcPr>
            <w:tcW w:w="2268" w:type="dxa"/>
            <w:vAlign w:val="center"/>
          </w:tcPr>
          <w:p>
            <w:pPr>
              <w:widowControl/>
              <w:jc w:val="center"/>
              <w:rPr>
                <w:rFonts w:ascii="宋体" w:hAnsi="宋体" w:cs="宋体"/>
                <w:kern w:val="0"/>
                <w:sz w:val="24"/>
              </w:rPr>
            </w:pPr>
            <w:r>
              <w:rPr>
                <w:rFonts w:hint="eastAsia" w:ascii="宋体" w:hAnsi="宋体" w:cs="宋体"/>
                <w:sz w:val="24"/>
              </w:rPr>
              <w:t>1429.34</w:t>
            </w:r>
          </w:p>
        </w:tc>
        <w:tc>
          <w:tcPr>
            <w:tcW w:w="2268" w:type="dxa"/>
            <w:vAlign w:val="center"/>
          </w:tcPr>
          <w:p>
            <w:pPr>
              <w:widowControl/>
              <w:jc w:val="center"/>
              <w:rPr>
                <w:rFonts w:ascii="宋体" w:hAnsi="宋体" w:cs="宋体"/>
                <w:sz w:val="24"/>
              </w:rPr>
            </w:pPr>
            <w:r>
              <w:rPr>
                <w:rFonts w:hint="eastAsia" w:ascii="宋体" w:hAnsi="宋体" w:cs="宋体"/>
                <w:sz w:val="24"/>
              </w:rPr>
              <w:t>205.35</w:t>
            </w:r>
          </w:p>
        </w:tc>
        <w:tc>
          <w:tcPr>
            <w:tcW w:w="2268" w:type="dxa"/>
            <w:vAlign w:val="center"/>
          </w:tcPr>
          <w:p>
            <w:pPr>
              <w:widowControl/>
              <w:jc w:val="center"/>
              <w:rPr>
                <w:rFonts w:ascii="宋体" w:hAnsi="宋体" w:cs="宋体"/>
                <w:sz w:val="24"/>
              </w:rPr>
            </w:pPr>
            <w:r>
              <w:rPr>
                <w:rFonts w:hint="eastAsia" w:ascii="宋体" w:hAnsi="宋体" w:cs="宋体"/>
                <w:sz w:val="24"/>
              </w:rPr>
              <w:t>1634.69</w:t>
            </w:r>
          </w:p>
        </w:tc>
        <w:tc>
          <w:tcPr>
            <w:tcW w:w="2268" w:type="dxa"/>
            <w:vAlign w:val="center"/>
          </w:tcPr>
          <w:p>
            <w:pPr>
              <w:widowControl/>
              <w:jc w:val="center"/>
              <w:rPr>
                <w:rFonts w:ascii="宋体" w:hAnsi="宋体" w:cs="宋体"/>
                <w:sz w:val="24"/>
              </w:rPr>
            </w:pPr>
            <w:r>
              <w:rPr>
                <w:rFonts w:hint="eastAsia" w:ascii="宋体" w:hAnsi="宋体" w:cs="宋体"/>
                <w:sz w:val="24"/>
              </w:rPr>
              <w:t>1634.69</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项目支出</w:t>
            </w:r>
          </w:p>
        </w:tc>
        <w:tc>
          <w:tcPr>
            <w:tcW w:w="2268" w:type="dxa"/>
            <w:vAlign w:val="center"/>
          </w:tcPr>
          <w:p>
            <w:pPr>
              <w:widowControl/>
              <w:jc w:val="center"/>
              <w:rPr>
                <w:rFonts w:ascii="宋体" w:hAnsi="宋体" w:cs="宋体"/>
                <w:kern w:val="0"/>
                <w:sz w:val="24"/>
              </w:rPr>
            </w:pPr>
            <w:r>
              <w:rPr>
                <w:rFonts w:hint="eastAsia" w:ascii="宋体" w:hAnsi="宋体" w:cs="宋体"/>
                <w:sz w:val="24"/>
              </w:rPr>
              <w:t>155.2</w:t>
            </w:r>
          </w:p>
        </w:tc>
        <w:tc>
          <w:tcPr>
            <w:tcW w:w="2268" w:type="dxa"/>
            <w:vAlign w:val="center"/>
          </w:tcPr>
          <w:p>
            <w:pPr>
              <w:widowControl/>
              <w:jc w:val="center"/>
              <w:rPr>
                <w:rFonts w:ascii="宋体" w:hAnsi="宋体" w:cs="宋体"/>
                <w:sz w:val="24"/>
              </w:rPr>
            </w:pPr>
            <w:r>
              <w:rPr>
                <w:rFonts w:hint="eastAsia" w:ascii="宋体" w:hAnsi="宋体" w:cs="宋体"/>
                <w:sz w:val="24"/>
              </w:rPr>
              <w:t>38746.87</w:t>
            </w:r>
          </w:p>
        </w:tc>
        <w:tc>
          <w:tcPr>
            <w:tcW w:w="2268" w:type="dxa"/>
            <w:vAlign w:val="center"/>
          </w:tcPr>
          <w:p>
            <w:pPr>
              <w:widowControl/>
              <w:jc w:val="center"/>
              <w:rPr>
                <w:rFonts w:ascii="宋体" w:hAnsi="宋体" w:cs="宋体"/>
                <w:sz w:val="24"/>
              </w:rPr>
            </w:pPr>
            <w:r>
              <w:rPr>
                <w:rFonts w:hint="eastAsia" w:ascii="宋体" w:hAnsi="宋体" w:cs="宋体"/>
                <w:sz w:val="24"/>
              </w:rPr>
              <w:t>38902.07</w:t>
            </w:r>
          </w:p>
        </w:tc>
        <w:tc>
          <w:tcPr>
            <w:tcW w:w="2268" w:type="dxa"/>
            <w:vAlign w:val="center"/>
          </w:tcPr>
          <w:p>
            <w:pPr>
              <w:widowControl/>
              <w:jc w:val="center"/>
              <w:rPr>
                <w:rFonts w:ascii="宋体" w:hAnsi="宋体" w:cs="宋体"/>
                <w:sz w:val="24"/>
              </w:rPr>
            </w:pPr>
            <w:r>
              <w:rPr>
                <w:rFonts w:hint="eastAsia" w:ascii="宋体" w:hAnsi="宋体" w:cs="宋体"/>
                <w:sz w:val="24"/>
              </w:rPr>
              <w:t>38902.07</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市属国企党建经费</w:t>
            </w:r>
          </w:p>
        </w:tc>
        <w:tc>
          <w:tcPr>
            <w:tcW w:w="2268" w:type="dxa"/>
            <w:vAlign w:val="center"/>
          </w:tcPr>
          <w:p>
            <w:pPr>
              <w:widowControl/>
              <w:jc w:val="center"/>
              <w:rPr>
                <w:rFonts w:ascii="宋体" w:hAnsi="宋体" w:cs="宋体"/>
                <w:kern w:val="0"/>
                <w:sz w:val="24"/>
              </w:rPr>
            </w:pPr>
            <w:r>
              <w:rPr>
                <w:rFonts w:hint="eastAsia" w:ascii="宋体" w:hAnsi="宋体" w:cs="宋体"/>
                <w:sz w:val="24"/>
              </w:rPr>
              <w:t>42</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42</w:t>
            </w:r>
          </w:p>
        </w:tc>
        <w:tc>
          <w:tcPr>
            <w:tcW w:w="2268" w:type="dxa"/>
            <w:vAlign w:val="center"/>
          </w:tcPr>
          <w:p>
            <w:pPr>
              <w:widowControl/>
              <w:jc w:val="center"/>
              <w:rPr>
                <w:rFonts w:ascii="宋体" w:hAnsi="宋体" w:cs="宋体"/>
                <w:sz w:val="24"/>
              </w:rPr>
            </w:pPr>
            <w:r>
              <w:rPr>
                <w:rFonts w:hint="eastAsia" w:ascii="宋体" w:hAnsi="宋体" w:cs="宋体"/>
                <w:sz w:val="24"/>
              </w:rPr>
              <w:t>23.71</w:t>
            </w:r>
          </w:p>
        </w:tc>
        <w:tc>
          <w:tcPr>
            <w:tcW w:w="2268" w:type="dxa"/>
            <w:vAlign w:val="center"/>
          </w:tcPr>
          <w:p>
            <w:pPr>
              <w:widowControl/>
              <w:jc w:val="center"/>
              <w:rPr>
                <w:rFonts w:ascii="宋体" w:hAnsi="宋体" w:cs="宋体"/>
                <w:sz w:val="24"/>
              </w:rPr>
            </w:pPr>
            <w:r>
              <w:rPr>
                <w:rFonts w:hint="eastAsia" w:ascii="宋体" w:hAnsi="宋体" w:cs="宋体"/>
                <w:sz w:val="24"/>
              </w:rPr>
              <w:t>56.45%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安全生产费用</w:t>
            </w:r>
          </w:p>
        </w:tc>
        <w:tc>
          <w:tcPr>
            <w:tcW w:w="2268" w:type="dxa"/>
            <w:vAlign w:val="center"/>
          </w:tcPr>
          <w:p>
            <w:pPr>
              <w:widowControl/>
              <w:jc w:val="center"/>
              <w:rPr>
                <w:rFonts w:ascii="宋体" w:hAnsi="宋体" w:cs="宋体"/>
                <w:kern w:val="0"/>
                <w:sz w:val="24"/>
              </w:rPr>
            </w:pPr>
            <w:r>
              <w:rPr>
                <w:rFonts w:hint="eastAsia" w:ascii="宋体" w:hAnsi="宋体" w:cs="宋体"/>
                <w:sz w:val="24"/>
              </w:rPr>
              <w:t>7</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7</w:t>
            </w:r>
          </w:p>
        </w:tc>
        <w:tc>
          <w:tcPr>
            <w:tcW w:w="2268" w:type="dxa"/>
            <w:vAlign w:val="center"/>
          </w:tcPr>
          <w:p>
            <w:pPr>
              <w:widowControl/>
              <w:jc w:val="center"/>
              <w:rPr>
                <w:rFonts w:ascii="宋体" w:hAnsi="宋体" w:cs="宋体"/>
                <w:sz w:val="24"/>
              </w:rPr>
            </w:pPr>
            <w:r>
              <w:rPr>
                <w:rFonts w:hint="eastAsia" w:ascii="宋体" w:hAnsi="宋体" w:cs="宋体"/>
                <w:sz w:val="24"/>
              </w:rPr>
              <w:t>7</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专项调研调查费用</w:t>
            </w:r>
          </w:p>
        </w:tc>
        <w:tc>
          <w:tcPr>
            <w:tcW w:w="2268" w:type="dxa"/>
            <w:vAlign w:val="center"/>
          </w:tcPr>
          <w:p>
            <w:pPr>
              <w:widowControl/>
              <w:jc w:val="center"/>
              <w:rPr>
                <w:rFonts w:ascii="宋体" w:hAnsi="宋体" w:cs="宋体"/>
                <w:kern w:val="0"/>
                <w:sz w:val="24"/>
              </w:rPr>
            </w:pPr>
            <w:r>
              <w:rPr>
                <w:rFonts w:hint="eastAsia" w:ascii="宋体" w:hAnsi="宋体" w:cs="宋体"/>
                <w:sz w:val="24"/>
              </w:rPr>
              <w:t>22</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22</w:t>
            </w:r>
          </w:p>
        </w:tc>
        <w:tc>
          <w:tcPr>
            <w:tcW w:w="2268" w:type="dxa"/>
            <w:vAlign w:val="center"/>
          </w:tcPr>
          <w:p>
            <w:pPr>
              <w:widowControl/>
              <w:jc w:val="center"/>
              <w:rPr>
                <w:rFonts w:ascii="宋体" w:hAnsi="宋体" w:cs="宋体"/>
                <w:sz w:val="24"/>
              </w:rPr>
            </w:pPr>
            <w:r>
              <w:rPr>
                <w:rFonts w:hint="eastAsia" w:ascii="宋体" w:hAnsi="宋体" w:cs="宋体"/>
                <w:sz w:val="24"/>
              </w:rPr>
              <w:t>18.02</w:t>
            </w:r>
          </w:p>
        </w:tc>
        <w:tc>
          <w:tcPr>
            <w:tcW w:w="2268" w:type="dxa"/>
            <w:vAlign w:val="center"/>
          </w:tcPr>
          <w:p>
            <w:pPr>
              <w:widowControl/>
              <w:jc w:val="center"/>
              <w:rPr>
                <w:rFonts w:ascii="宋体" w:hAnsi="宋体" w:cs="宋体"/>
                <w:sz w:val="24"/>
              </w:rPr>
            </w:pPr>
            <w:r>
              <w:rPr>
                <w:rFonts w:hint="eastAsia" w:ascii="宋体" w:hAnsi="宋体" w:cs="宋体"/>
                <w:sz w:val="24"/>
              </w:rPr>
              <w:t>81.91%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信息化维护及设备更新维护费用</w:t>
            </w:r>
          </w:p>
        </w:tc>
        <w:tc>
          <w:tcPr>
            <w:tcW w:w="2268" w:type="dxa"/>
            <w:vAlign w:val="center"/>
          </w:tcPr>
          <w:p>
            <w:pPr>
              <w:widowControl/>
              <w:jc w:val="center"/>
              <w:rPr>
                <w:rFonts w:ascii="宋体" w:hAnsi="宋体" w:cs="宋体"/>
                <w:kern w:val="0"/>
                <w:sz w:val="24"/>
              </w:rPr>
            </w:pPr>
            <w:r>
              <w:rPr>
                <w:rFonts w:hint="eastAsia" w:ascii="宋体" w:hAnsi="宋体" w:cs="宋体"/>
                <w:sz w:val="24"/>
              </w:rPr>
              <w:t>6.8</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6.8</w:t>
            </w:r>
          </w:p>
        </w:tc>
        <w:tc>
          <w:tcPr>
            <w:tcW w:w="2268" w:type="dxa"/>
            <w:vAlign w:val="center"/>
          </w:tcPr>
          <w:p>
            <w:pPr>
              <w:widowControl/>
              <w:jc w:val="center"/>
              <w:rPr>
                <w:rFonts w:ascii="宋体" w:hAnsi="宋体" w:cs="宋体"/>
                <w:sz w:val="24"/>
              </w:rPr>
            </w:pPr>
            <w:r>
              <w:rPr>
                <w:rFonts w:hint="eastAsia" w:ascii="宋体" w:hAnsi="宋体" w:cs="宋体"/>
                <w:sz w:val="24"/>
              </w:rPr>
              <w:t>6.77</w:t>
            </w:r>
          </w:p>
        </w:tc>
        <w:tc>
          <w:tcPr>
            <w:tcW w:w="2268" w:type="dxa"/>
            <w:vAlign w:val="center"/>
          </w:tcPr>
          <w:p>
            <w:pPr>
              <w:widowControl/>
              <w:jc w:val="center"/>
              <w:rPr>
                <w:rFonts w:ascii="宋体" w:hAnsi="宋体" w:cs="宋体"/>
                <w:sz w:val="24"/>
              </w:rPr>
            </w:pPr>
            <w:r>
              <w:rPr>
                <w:rFonts w:hint="eastAsia" w:ascii="宋体" w:hAnsi="宋体" w:cs="宋体"/>
                <w:sz w:val="24"/>
              </w:rPr>
              <w:t>99.56%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专项培训费用</w:t>
            </w:r>
          </w:p>
        </w:tc>
        <w:tc>
          <w:tcPr>
            <w:tcW w:w="2268" w:type="dxa"/>
            <w:vAlign w:val="center"/>
          </w:tcPr>
          <w:p>
            <w:pPr>
              <w:widowControl/>
              <w:jc w:val="center"/>
              <w:rPr>
                <w:rFonts w:ascii="宋体" w:hAnsi="宋体" w:cs="宋体"/>
                <w:kern w:val="0"/>
                <w:sz w:val="24"/>
              </w:rPr>
            </w:pPr>
            <w:r>
              <w:rPr>
                <w:rFonts w:hint="eastAsia" w:ascii="宋体" w:hAnsi="宋体" w:cs="宋体"/>
                <w:sz w:val="24"/>
              </w:rPr>
              <w:t>45.04</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45.04</w:t>
            </w:r>
          </w:p>
        </w:tc>
        <w:tc>
          <w:tcPr>
            <w:tcW w:w="2268" w:type="dxa"/>
            <w:vAlign w:val="center"/>
          </w:tcPr>
          <w:p>
            <w:pPr>
              <w:widowControl/>
              <w:jc w:val="center"/>
              <w:rPr>
                <w:rFonts w:ascii="宋体" w:hAnsi="宋体" w:cs="宋体"/>
                <w:sz w:val="24"/>
              </w:rPr>
            </w:pPr>
            <w:r>
              <w:rPr>
                <w:rFonts w:hint="eastAsia" w:ascii="宋体" w:hAnsi="宋体" w:cs="宋体"/>
                <w:sz w:val="24"/>
              </w:rPr>
              <w:t>41.06</w:t>
            </w:r>
          </w:p>
        </w:tc>
        <w:tc>
          <w:tcPr>
            <w:tcW w:w="2268" w:type="dxa"/>
            <w:vAlign w:val="center"/>
          </w:tcPr>
          <w:p>
            <w:pPr>
              <w:widowControl/>
              <w:jc w:val="center"/>
              <w:rPr>
                <w:rFonts w:ascii="宋体" w:hAnsi="宋体" w:cs="宋体"/>
                <w:sz w:val="24"/>
              </w:rPr>
            </w:pPr>
            <w:r>
              <w:rPr>
                <w:rFonts w:hint="eastAsia" w:ascii="宋体" w:hAnsi="宋体" w:cs="宋体"/>
                <w:sz w:val="24"/>
              </w:rPr>
              <w:t>91.16%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专项委托业务费用</w:t>
            </w:r>
          </w:p>
        </w:tc>
        <w:tc>
          <w:tcPr>
            <w:tcW w:w="2268" w:type="dxa"/>
            <w:vAlign w:val="center"/>
          </w:tcPr>
          <w:p>
            <w:pPr>
              <w:widowControl/>
              <w:jc w:val="center"/>
              <w:rPr>
                <w:rFonts w:ascii="宋体" w:hAnsi="宋体" w:cs="宋体"/>
                <w:kern w:val="0"/>
                <w:sz w:val="24"/>
              </w:rPr>
            </w:pPr>
            <w:r>
              <w:rPr>
                <w:rFonts w:hint="eastAsia" w:ascii="宋体" w:hAnsi="宋体" w:cs="宋体"/>
                <w:sz w:val="24"/>
              </w:rPr>
              <w:t>32.36</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32.36</w:t>
            </w:r>
          </w:p>
        </w:tc>
        <w:tc>
          <w:tcPr>
            <w:tcW w:w="2268" w:type="dxa"/>
            <w:vAlign w:val="center"/>
          </w:tcPr>
          <w:p>
            <w:pPr>
              <w:widowControl/>
              <w:jc w:val="center"/>
              <w:rPr>
                <w:rFonts w:ascii="宋体" w:hAnsi="宋体" w:cs="宋体"/>
                <w:sz w:val="24"/>
              </w:rPr>
            </w:pPr>
            <w:r>
              <w:rPr>
                <w:rFonts w:hint="eastAsia" w:ascii="宋体" w:hAnsi="宋体" w:cs="宋体"/>
                <w:sz w:val="24"/>
              </w:rPr>
              <w:t>29.54</w:t>
            </w:r>
          </w:p>
        </w:tc>
        <w:tc>
          <w:tcPr>
            <w:tcW w:w="2268" w:type="dxa"/>
            <w:vAlign w:val="center"/>
          </w:tcPr>
          <w:p>
            <w:pPr>
              <w:widowControl/>
              <w:jc w:val="center"/>
              <w:rPr>
                <w:rFonts w:ascii="宋体" w:hAnsi="宋体" w:cs="宋体"/>
                <w:sz w:val="24"/>
              </w:rPr>
            </w:pPr>
            <w:r>
              <w:rPr>
                <w:rFonts w:hint="eastAsia" w:ascii="宋体" w:hAnsi="宋体" w:cs="宋体"/>
                <w:sz w:val="24"/>
              </w:rPr>
              <w:t>91.29%</w:t>
            </w:r>
          </w:p>
        </w:tc>
      </w:tr>
    </w:tbl>
    <w:p w14:paraId="131ACE80">
      <w:pPr>
        <w:spacing w:line="360" w:lineRule="auto"/>
        <w:ind w:left="600"/>
        <w:rPr>
          <w:rFonts w:ascii="黑体" w:hAnsi="黑体" w:eastAsia="黑体"/>
          <w:sz w:val="30"/>
        </w:rPr>
      </w:pPr>
    </w:p>
    <w:p w14:paraId="74045F82">
      <w:pPr>
        <w:numPr>
          <w:ilvl w:val="0"/>
          <w:numId w:val="1"/>
        </w:numPr>
        <w:spacing w:line="360" w:lineRule="auto"/>
        <w:ind w:left="600"/>
        <w:rPr>
          <w:rFonts w:ascii="黑体" w:hAnsi="黑体" w:eastAsia="黑体"/>
          <w:sz w:val="30"/>
        </w:rPr>
      </w:pPr>
      <w:r>
        <w:rPr>
          <w:rFonts w:hint="eastAsia" w:ascii="黑体" w:hAnsi="黑体" w:eastAsia="黑体"/>
          <w:sz w:val="30"/>
        </w:rPr>
        <w:t>年度重点任务</w:t>
      </w:r>
    </w:p>
    <w:p w14:paraId="0D3A1920">
      <w:pPr>
        <w:spacing w:line="360" w:lineRule="auto"/>
        <w:ind w:left="600"/>
        <w:rPr>
          <w:rFonts w:ascii="黑体" w:hAnsi="黑体" w:eastAsia="黑体"/>
          <w:sz w:val="30"/>
        </w:rPr>
      </w:pPr>
    </w:p>
    <w:tbl>
      <w:tblPr>
        <w:tblStyle w:val="5"/>
        <w:tblW w:w="13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9"/>
        <w:gridCol w:w="3818"/>
        <w:gridCol w:w="6280"/>
      </w:tblGrid>
      <w:tr w14:paraId="4FD8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419" w:type="dxa"/>
            <w:shd w:val="clear" w:color="000000" w:fill="BFBFBF"/>
            <w:vAlign w:val="center"/>
          </w:tcPr>
          <w:p w14:paraId="1644DE46">
            <w:pPr>
              <w:widowControl/>
              <w:jc w:val="center"/>
              <w:rPr>
                <w:rFonts w:ascii="宋体" w:hAnsi="宋体" w:cs="宋体"/>
                <w:b/>
                <w:bCs/>
                <w:kern w:val="0"/>
                <w:sz w:val="24"/>
              </w:rPr>
            </w:pPr>
          </w:p>
          <w:p w14:paraId="5858CDEA">
            <w:pPr>
              <w:widowControl/>
              <w:jc w:val="center"/>
              <w:rPr>
                <w:rFonts w:ascii="宋体" w:hAnsi="宋体" w:cs="宋体"/>
                <w:b/>
                <w:bCs/>
                <w:kern w:val="0"/>
                <w:sz w:val="24"/>
              </w:rPr>
            </w:pPr>
            <w:r>
              <w:rPr>
                <w:rFonts w:hint="eastAsia" w:ascii="宋体" w:hAnsi="宋体" w:cs="宋体"/>
                <w:b/>
                <w:bCs/>
                <w:kern w:val="0"/>
                <w:sz w:val="24"/>
              </w:rPr>
              <w:t>对应部门主要职责</w:t>
            </w:r>
          </w:p>
          <w:p w14:paraId="3F9E1C75">
            <w:pPr>
              <w:widowControl/>
              <w:jc w:val="center"/>
              <w:rPr>
                <w:rFonts w:ascii="宋体" w:hAnsi="宋体" w:cs="宋体"/>
                <w:b/>
                <w:bCs/>
                <w:kern w:val="0"/>
                <w:sz w:val="24"/>
              </w:rPr>
            </w:pPr>
            <w:r>
              <w:rPr>
                <w:rFonts w:hint="eastAsia" w:ascii="宋体" w:hAnsi="宋体" w:cs="宋体"/>
                <w:b/>
                <w:bCs/>
                <w:kern w:val="0"/>
                <w:sz w:val="24"/>
              </w:rPr>
              <w:t/>
            </w:r>
          </w:p>
        </w:tc>
        <w:tc>
          <w:tcPr>
            <w:tcW w:w="3818" w:type="dxa"/>
            <w:shd w:val="clear" w:color="000000" w:fill="BFBFBF"/>
            <w:vAlign w:val="center"/>
          </w:tcPr>
          <w:p w14:paraId="561C96F1">
            <w:pPr>
              <w:widowControl/>
              <w:jc w:val="center"/>
              <w:rPr>
                <w:rFonts w:ascii="宋体" w:hAnsi="宋体" w:cs="宋体"/>
                <w:b/>
                <w:bCs/>
                <w:kern w:val="0"/>
                <w:sz w:val="24"/>
              </w:rPr>
            </w:pPr>
            <w:r>
              <w:rPr>
                <w:rFonts w:hint="eastAsia" w:ascii="宋体" w:hAnsi="宋体" w:cs="宋体"/>
                <w:b/>
                <w:bCs/>
                <w:kern w:val="0"/>
                <w:sz w:val="24"/>
              </w:rPr>
              <w:t>任务名称</w:t>
            </w:r>
          </w:p>
        </w:tc>
        <w:tc>
          <w:tcPr>
            <w:tcW w:w="6280" w:type="dxa"/>
            <w:shd w:val="clear" w:color="000000" w:fill="BFBFBF"/>
            <w:vAlign w:val="center"/>
          </w:tcPr>
          <w:p w14:paraId="77A795C7">
            <w:pPr>
              <w:widowControl/>
              <w:jc w:val="center"/>
              <w:rPr>
                <w:rFonts w:ascii="宋体" w:hAnsi="宋体" w:cs="宋体"/>
                <w:b/>
                <w:bCs/>
                <w:kern w:val="0"/>
                <w:sz w:val="24"/>
              </w:rPr>
            </w:pPr>
            <w:r>
              <w:rPr>
                <w:rFonts w:hint="eastAsia" w:ascii="宋体" w:hAnsi="宋体" w:cs="宋体"/>
                <w:b/>
                <w:bCs/>
                <w:kern w:val="0"/>
                <w:sz w:val="24"/>
              </w:rPr>
              <w:t>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党建工作</w:t>
            </w:r>
          </w:p>
        </w:tc>
        <w:tc>
          <w:tcPr>
            <w:tcW w:w="3818" w:type="dxa"/>
            <w:vAlign w:val="center"/>
          </w:tcPr>
          <w:p>
            <w:pPr>
              <w:widowControl/>
              <w:jc w:val="center"/>
              <w:rPr>
                <w:rFonts w:ascii="宋体" w:hAnsi="宋体" w:cs="宋体"/>
                <w:sz w:val="24"/>
              </w:rPr>
            </w:pPr>
            <w:r>
              <w:rPr>
                <w:rFonts w:hint="eastAsia" w:ascii="宋体" w:hAnsi="宋体" w:cs="宋体"/>
                <w:sz w:val="24"/>
              </w:rPr>
              <w:t>增强机关党员干部党性修养</w:t>
            </w:r>
          </w:p>
        </w:tc>
        <w:tc>
          <w:tcPr>
            <w:tcW w:w="6280" w:type="dxa"/>
            <w:vAlign w:val="center"/>
          </w:tcPr>
          <w:p>
            <w:pPr>
              <w:widowControl/>
              <w:jc w:val="center"/>
              <w:rPr>
                <w:rFonts w:ascii="宋体" w:hAnsi="宋体" w:cs="宋体"/>
                <w:sz w:val="24"/>
              </w:rPr>
            </w:pPr>
            <w:r>
              <w:rPr>
                <w:rFonts w:hint="eastAsia" w:ascii="宋体" w:hAnsi="宋体" w:cs="宋体"/>
                <w:sz w:val="24"/>
              </w:rPr>
              <w:t>已完成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人才强企战略</w:t>
            </w:r>
          </w:p>
        </w:tc>
        <w:tc>
          <w:tcPr>
            <w:tcW w:w="3818" w:type="dxa"/>
            <w:vAlign w:val="center"/>
          </w:tcPr>
          <w:p>
            <w:pPr>
              <w:widowControl/>
              <w:jc w:val="center"/>
              <w:rPr>
                <w:rFonts w:ascii="宋体" w:hAnsi="宋体" w:cs="宋体"/>
                <w:sz w:val="24"/>
              </w:rPr>
            </w:pPr>
            <w:r>
              <w:rPr>
                <w:rFonts w:hint="eastAsia" w:ascii="宋体" w:hAnsi="宋体" w:cs="宋体"/>
                <w:sz w:val="24"/>
              </w:rPr>
              <w:t>青年人才“逐浪计划”</w:t>
            </w:r>
          </w:p>
        </w:tc>
        <w:tc>
          <w:tcPr>
            <w:tcW w:w="6280" w:type="dxa"/>
            <w:vAlign w:val="center"/>
          </w:tcPr>
          <w:p>
            <w:pPr>
              <w:widowControl/>
              <w:jc w:val="center"/>
              <w:rPr>
                <w:rFonts w:ascii="宋体" w:hAnsi="宋体" w:cs="宋体"/>
                <w:sz w:val="24"/>
              </w:rPr>
            </w:pPr>
            <w:r>
              <w:rPr>
                <w:rFonts w:hint="eastAsia" w:ascii="宋体" w:hAnsi="宋体" w:cs="宋体"/>
                <w:sz w:val="24"/>
              </w:rPr>
              <w:t>已完成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hint="eastAsia" w:ascii="宋体" w:hAnsi="宋体" w:cs="宋体"/>
                <w:sz w:val="24"/>
              </w:rPr>
              <w:t>提高国企资产质量</w:t>
            </w:r>
          </w:p>
        </w:tc>
        <w:tc>
          <w:tcPr>
            <w:tcW w:w="3818" w:type="dxa"/>
            <w:vAlign w:val="center"/>
          </w:tcPr>
          <w:p>
            <w:pPr>
              <w:widowControl/>
              <w:jc w:val="center"/>
              <w:rPr>
                <w:rFonts w:ascii="宋体" w:hAnsi="宋体" w:cs="宋体"/>
                <w:sz w:val="24"/>
              </w:rPr>
            </w:pPr>
            <w:r>
              <w:rPr>
                <w:rFonts w:hint="eastAsia" w:ascii="宋体" w:hAnsi="宋体" w:cs="宋体"/>
                <w:sz w:val="24"/>
              </w:rPr>
              <w:t>提升企业内审工作效能</w:t>
            </w:r>
          </w:p>
        </w:tc>
        <w:tc>
          <w:tcPr>
            <w:tcW w:w="6280" w:type="dxa"/>
            <w:vAlign w:val="center"/>
          </w:tcPr>
          <w:p>
            <w:pPr>
              <w:widowControl/>
              <w:jc w:val="center"/>
              <w:rPr>
                <w:rFonts w:ascii="宋体" w:hAnsi="宋体" w:cs="宋体"/>
                <w:sz w:val="24"/>
              </w:rPr>
            </w:pPr>
            <w:r>
              <w:rPr>
                <w:rFonts w:hint="eastAsia" w:ascii="宋体" w:hAnsi="宋体" w:cs="宋体"/>
                <w:sz w:val="24"/>
              </w:rPr>
              <w:t>已完成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存量资产盘活</w:t>
            </w:r>
          </w:p>
        </w:tc>
        <w:tc>
          <w:tcPr>
            <w:tcW w:w="6280" w:type="dxa"/>
            <w:vAlign w:val="center"/>
          </w:tcPr>
          <w:p>
            <w:pPr>
              <w:widowControl/>
              <w:jc w:val="center"/>
              <w:rPr>
                <w:rFonts w:ascii="宋体" w:hAnsi="宋体" w:cs="宋体"/>
                <w:sz w:val="24"/>
              </w:rPr>
            </w:pPr>
            <w:r>
              <w:rPr>
                <w:rFonts w:hint="eastAsia" w:ascii="宋体" w:hAnsi="宋体" w:cs="宋体"/>
                <w:sz w:val="24"/>
              </w:rPr>
              <w:t>已完成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hint="eastAsia" w:ascii="宋体" w:hAnsi="宋体" w:cs="宋体"/>
                <w:sz w:val="24"/>
              </w:rPr>
              <w:t>推进国企改革</w:t>
            </w:r>
          </w:p>
        </w:tc>
        <w:tc>
          <w:tcPr>
            <w:tcW w:w="3818" w:type="dxa"/>
            <w:vAlign w:val="center"/>
          </w:tcPr>
          <w:p>
            <w:pPr>
              <w:widowControl/>
              <w:jc w:val="center"/>
              <w:rPr>
                <w:rFonts w:ascii="宋体" w:hAnsi="宋体" w:cs="宋体"/>
                <w:sz w:val="24"/>
              </w:rPr>
            </w:pPr>
            <w:r>
              <w:rPr>
                <w:rFonts w:hint="eastAsia" w:ascii="宋体" w:hAnsi="宋体" w:cs="宋体"/>
                <w:sz w:val="24"/>
              </w:rPr>
              <w:t>国有资本经营预算管理</w:t>
            </w:r>
          </w:p>
        </w:tc>
        <w:tc>
          <w:tcPr>
            <w:tcW w:w="6280" w:type="dxa"/>
            <w:vAlign w:val="center"/>
          </w:tcPr>
          <w:p>
            <w:pPr>
              <w:widowControl/>
              <w:jc w:val="center"/>
              <w:rPr>
                <w:rFonts w:ascii="宋体" w:hAnsi="宋体" w:cs="宋体"/>
                <w:sz w:val="24"/>
              </w:rPr>
            </w:pPr>
            <w:r>
              <w:rPr>
                <w:rFonts w:hint="eastAsia" w:ascii="宋体" w:hAnsi="宋体" w:cs="宋体"/>
                <w:sz w:val="24"/>
              </w:rPr>
              <w:t>已完成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国企改革深化提升行动</w:t>
            </w:r>
          </w:p>
        </w:tc>
        <w:tc>
          <w:tcPr>
            <w:tcW w:w="6280" w:type="dxa"/>
            <w:vAlign w:val="center"/>
          </w:tcPr>
          <w:p>
            <w:pPr>
              <w:widowControl/>
              <w:jc w:val="center"/>
              <w:rPr>
                <w:rFonts w:ascii="宋体" w:hAnsi="宋体" w:cs="宋体"/>
                <w:sz w:val="24"/>
              </w:rPr>
            </w:pPr>
            <w:r>
              <w:rPr>
                <w:rFonts w:hint="eastAsia" w:ascii="宋体" w:hAnsi="宋体" w:cs="宋体"/>
                <w:sz w:val="24"/>
              </w:rPr>
              <w:t>已完成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市级国有资本布局优化</w:t>
            </w:r>
          </w:p>
        </w:tc>
        <w:tc>
          <w:tcPr>
            <w:tcW w:w="6280" w:type="dxa"/>
            <w:vAlign w:val="center"/>
          </w:tcPr>
          <w:p>
            <w:pPr>
              <w:widowControl/>
              <w:jc w:val="center"/>
              <w:rPr>
                <w:rFonts w:ascii="宋体" w:hAnsi="宋体" w:cs="宋体"/>
                <w:sz w:val="24"/>
              </w:rPr>
            </w:pPr>
            <w:r>
              <w:rPr>
                <w:rFonts w:hint="eastAsia" w:ascii="宋体" w:hAnsi="宋体" w:cs="宋体"/>
                <w:sz w:val="24"/>
              </w:rPr>
              <w:t>已完成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hint="eastAsia" w:ascii="宋体" w:hAnsi="宋体" w:cs="宋体"/>
                <w:sz w:val="24"/>
              </w:rPr>
              <w:t>推进市场化经营机制制度化长效化</w:t>
            </w:r>
          </w:p>
        </w:tc>
        <w:tc>
          <w:tcPr>
            <w:tcW w:w="3818" w:type="dxa"/>
            <w:vAlign w:val="center"/>
          </w:tcPr>
          <w:p>
            <w:pPr>
              <w:widowControl/>
              <w:jc w:val="center"/>
              <w:rPr>
                <w:rFonts w:ascii="宋体" w:hAnsi="宋体" w:cs="宋体"/>
                <w:sz w:val="24"/>
              </w:rPr>
            </w:pPr>
            <w:r>
              <w:rPr>
                <w:rFonts w:hint="eastAsia" w:ascii="宋体" w:hAnsi="宋体" w:cs="宋体"/>
                <w:sz w:val="24"/>
              </w:rPr>
              <w:t>外部董事年度工作座谈会</w:t>
            </w:r>
          </w:p>
        </w:tc>
        <w:tc>
          <w:tcPr>
            <w:tcW w:w="6280" w:type="dxa"/>
            <w:vAlign w:val="center"/>
          </w:tcPr>
          <w:p>
            <w:pPr>
              <w:widowControl/>
              <w:jc w:val="center"/>
              <w:rPr>
                <w:rFonts w:ascii="宋体" w:hAnsi="宋体" w:cs="宋体"/>
                <w:sz w:val="24"/>
              </w:rPr>
            </w:pPr>
            <w:r>
              <w:rPr>
                <w:rFonts w:hint="eastAsia" w:ascii="宋体" w:hAnsi="宋体" w:cs="宋体"/>
                <w:sz w:val="24"/>
              </w:rPr>
              <w:t>已完成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规范企业董事会建设</w:t>
            </w:r>
          </w:p>
        </w:tc>
        <w:tc>
          <w:tcPr>
            <w:tcW w:w="6280" w:type="dxa"/>
            <w:vAlign w:val="center"/>
          </w:tcPr>
          <w:p>
            <w:pPr>
              <w:widowControl/>
              <w:jc w:val="center"/>
              <w:rPr>
                <w:rFonts w:ascii="宋体" w:hAnsi="宋体" w:cs="宋体"/>
                <w:sz w:val="24"/>
              </w:rPr>
            </w:pPr>
            <w:r>
              <w:rPr>
                <w:rFonts w:hint="eastAsia" w:ascii="宋体" w:hAnsi="宋体" w:cs="宋体"/>
                <w:sz w:val="24"/>
              </w:rPr>
              <w:t>已完成</w:t>
            </w:r>
          </w:p>
        </w:tc>
      </w:tr>
    </w:tbl>
    <w:p w14:paraId="24A38881">
      <w:pPr>
        <w:spacing w:line="360" w:lineRule="auto"/>
        <w:ind w:left="600"/>
        <w:rPr>
          <w:rFonts w:ascii="黑体" w:hAnsi="黑体" w:eastAsia="黑体"/>
          <w:sz w:val="30"/>
        </w:rPr>
      </w:pPr>
    </w:p>
    <w:p w14:paraId="2EB75D17">
      <w:pPr>
        <w:spacing w:line="360" w:lineRule="auto"/>
        <w:ind w:left="600"/>
        <w:rPr>
          <w:rFonts w:ascii="黑体" w:hAnsi="黑体" w:eastAsia="黑体"/>
          <w:sz w:val="30"/>
        </w:rPr>
      </w:pPr>
    </w:p>
    <w:p w14:paraId="0A35E1A9">
      <w:pPr>
        <w:numPr>
          <w:ilvl w:val="0"/>
          <w:numId w:val="1"/>
        </w:numPr>
        <w:spacing w:line="360" w:lineRule="auto"/>
        <w:ind w:left="600"/>
        <w:rPr>
          <w:rFonts w:ascii="黑体" w:hAnsi="黑体" w:eastAsia="黑体"/>
          <w:sz w:val="30"/>
        </w:rPr>
      </w:pPr>
      <w:r>
        <w:rPr>
          <w:rFonts w:hint="eastAsia" w:ascii="黑体" w:hAnsi="黑体" w:eastAsia="黑体"/>
          <w:sz w:val="30"/>
        </w:rPr>
        <w:t>部门整体自评表</w:t>
      </w:r>
    </w:p>
    <w:tbl>
      <w:tblPr>
        <w:tblStyle w:val="5"/>
        <w:tblpPr w:leftFromText="180" w:rightFromText="180" w:vertAnchor="text" w:horzAnchor="page" w:tblpX="1656" w:tblpY="127"/>
        <w:tblOverlap w:val="never"/>
        <w:tblW w:w="14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2051"/>
        <w:gridCol w:w="2061"/>
        <w:gridCol w:w="1987"/>
        <w:gridCol w:w="1799"/>
        <w:gridCol w:w="1866"/>
        <w:gridCol w:w="1787"/>
        <w:gridCol w:w="1071"/>
      </w:tblGrid>
      <w:tr w14:paraId="0B32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2067" w:type="dxa"/>
            <w:shd w:val="clear" w:color="000000" w:fill="BFBFBF"/>
            <w:vAlign w:val="center"/>
          </w:tcPr>
          <w:p w14:paraId="53BD466F">
            <w:pPr>
              <w:widowControl/>
              <w:jc w:val="center"/>
              <w:rPr>
                <w:rFonts w:ascii="宋体" w:hAnsi="宋体" w:cs="宋体"/>
                <w:b/>
                <w:bCs/>
                <w:kern w:val="0"/>
                <w:sz w:val="24"/>
              </w:rPr>
            </w:pPr>
            <w:r>
              <w:rPr>
                <w:rFonts w:hint="eastAsia" w:ascii="宋体" w:hAnsi="宋体" w:cs="宋体"/>
                <w:b/>
                <w:bCs/>
                <w:kern w:val="0"/>
                <w:sz w:val="24"/>
              </w:rPr>
              <w:t/>
            </w:r>
          </w:p>
        </w:tc>
        <w:tc>
          <w:tcPr>
            <w:tcW w:w="2051" w:type="dxa"/>
            <w:shd w:val="clear" w:color="000000" w:fill="BFBFBF"/>
            <w:vAlign w:val="center"/>
          </w:tcPr>
          <w:p w14:paraId="1CC58553">
            <w:pPr>
              <w:widowControl/>
              <w:jc w:val="center"/>
              <w:rPr>
                <w:rFonts w:ascii="宋体" w:hAnsi="宋体" w:cs="宋体"/>
                <w:b/>
                <w:bCs/>
                <w:kern w:val="0"/>
                <w:sz w:val="24"/>
              </w:rPr>
            </w:pPr>
            <w:r>
              <w:rPr>
                <w:rFonts w:hint="eastAsia" w:ascii="宋体" w:hAnsi="宋体" w:cs="宋体"/>
                <w:b/>
                <w:bCs/>
                <w:sz w:val="24"/>
              </w:rPr>
              <w:t>类别</w:t>
            </w:r>
          </w:p>
        </w:tc>
        <w:tc>
          <w:tcPr>
            <w:tcW w:w="2061" w:type="dxa"/>
            <w:shd w:val="clear" w:color="000000" w:fill="BFBFBF"/>
            <w:vAlign w:val="center"/>
          </w:tcPr>
          <w:p w14:paraId="3F4DC382">
            <w:pPr>
              <w:widowControl/>
              <w:jc w:val="center"/>
              <w:rPr>
                <w:rFonts w:ascii="宋体" w:hAnsi="宋体" w:cs="宋体"/>
                <w:b/>
                <w:bCs/>
                <w:kern w:val="0"/>
                <w:sz w:val="24"/>
              </w:rPr>
            </w:pPr>
            <w:r>
              <w:rPr>
                <w:rFonts w:hint="eastAsia" w:ascii="宋体" w:hAnsi="宋体" w:cs="宋体"/>
                <w:b/>
                <w:bCs/>
                <w:sz w:val="24"/>
              </w:rPr>
              <w:t>指标名称</w:t>
            </w:r>
          </w:p>
        </w:tc>
        <w:tc>
          <w:tcPr>
            <w:tcW w:w="1987" w:type="dxa"/>
            <w:shd w:val="clear" w:color="000000" w:fill="BFBFBF"/>
            <w:vAlign w:val="center"/>
          </w:tcPr>
          <w:p w14:paraId="5D2A2967">
            <w:pPr>
              <w:widowControl/>
              <w:jc w:val="center"/>
              <w:rPr>
                <w:rFonts w:ascii="宋体" w:hAnsi="宋体" w:cs="宋体"/>
                <w:b/>
                <w:bCs/>
                <w:kern w:val="0"/>
                <w:sz w:val="24"/>
              </w:rPr>
            </w:pPr>
            <w:r>
              <w:rPr>
                <w:rFonts w:hint="eastAsia" w:ascii="宋体" w:hAnsi="宋体" w:cs="宋体"/>
                <w:b/>
                <w:bCs/>
                <w:sz w:val="24"/>
              </w:rPr>
              <w:t>指标目标值</w:t>
            </w:r>
          </w:p>
        </w:tc>
        <w:tc>
          <w:tcPr>
            <w:tcW w:w="1799" w:type="dxa"/>
            <w:shd w:val="clear" w:color="000000" w:fill="BFBFBF"/>
            <w:vAlign w:val="center"/>
          </w:tcPr>
          <w:p w14:paraId="700B5F42">
            <w:pPr>
              <w:widowControl/>
              <w:jc w:val="center"/>
              <w:rPr>
                <w:rFonts w:ascii="宋体" w:hAnsi="宋体" w:cs="宋体"/>
                <w:b/>
                <w:bCs/>
                <w:kern w:val="0"/>
                <w:sz w:val="24"/>
              </w:rPr>
            </w:pPr>
            <w:r>
              <w:rPr>
                <w:rFonts w:hint="eastAsia" w:ascii="宋体" w:hAnsi="宋体" w:cs="宋体"/>
                <w:b/>
                <w:bCs/>
                <w:sz w:val="24"/>
              </w:rPr>
              <w:t>指标完成值</w:t>
            </w:r>
          </w:p>
        </w:tc>
        <w:tc>
          <w:tcPr>
            <w:tcW w:w="1866" w:type="dxa"/>
            <w:shd w:val="clear" w:color="000000" w:fill="BFBFBF"/>
            <w:vAlign w:val="center"/>
          </w:tcPr>
          <w:p w14:paraId="3082178C">
            <w:pPr>
              <w:widowControl/>
              <w:jc w:val="center"/>
              <w:rPr>
                <w:rFonts w:ascii="宋体" w:hAnsi="宋体" w:cs="宋体"/>
                <w:b/>
                <w:bCs/>
                <w:kern w:val="0"/>
                <w:sz w:val="24"/>
              </w:rPr>
            </w:pPr>
            <w:r>
              <w:rPr>
                <w:rFonts w:hint="eastAsia" w:ascii="宋体" w:hAnsi="宋体" w:cs="宋体"/>
                <w:b/>
                <w:bCs/>
                <w:sz w:val="24"/>
              </w:rPr>
              <w:t>完成值来源</w:t>
            </w:r>
          </w:p>
        </w:tc>
        <w:tc>
          <w:tcPr>
            <w:tcW w:w="1787" w:type="dxa"/>
            <w:shd w:val="clear" w:color="000000" w:fill="BFBFBF"/>
            <w:vAlign w:val="center"/>
          </w:tcPr>
          <w:p w14:paraId="49382FB0">
            <w:pPr>
              <w:widowControl/>
              <w:jc w:val="center"/>
              <w:rPr>
                <w:rFonts w:ascii="宋体" w:hAnsi="宋体" w:cs="宋体"/>
                <w:b/>
                <w:bCs/>
                <w:sz w:val="24"/>
              </w:rPr>
            </w:pPr>
            <w:r>
              <w:rPr>
                <w:rFonts w:hint="eastAsia" w:ascii="宋体" w:hAnsi="宋体" w:cs="宋体"/>
                <w:b/>
                <w:bCs/>
                <w:sz w:val="24"/>
              </w:rPr>
              <w:t>偏差情况</w:t>
            </w:r>
          </w:p>
        </w:tc>
        <w:tc>
          <w:tcPr>
            <w:tcW w:w="1071" w:type="dxa"/>
            <w:shd w:val="clear" w:color="000000" w:fill="BFBFBF"/>
          </w:tcPr>
          <w:p w14:paraId="6998F3EA">
            <w:pPr>
              <w:widowControl/>
              <w:jc w:val="center"/>
              <w:rPr>
                <w:rFonts w:ascii="黑体" w:hAnsi="黑体" w:eastAsia="黑体"/>
                <w:sz w:val="30"/>
              </w:rPr>
            </w:pPr>
            <w:r>
              <w:rPr>
                <w:rFonts w:hint="eastAsia" w:ascii="宋体" w:hAnsi="宋体" w:cs="宋体"/>
                <w:b/>
                <w:bCs/>
                <w:sz w:val="24"/>
              </w:rPr>
              <w:t>原因分析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分解目标</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决策</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中长期规划制定健全性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工作计划制定健全性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绩效指标明确性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绩效目标填报及公开</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绩效目标合理性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绩效管理要求</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预算管理要求</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预算编制科学性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预算管理要求</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过程</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绩效管理覆盖率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绩效填报要求</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预算管理要求</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预决算信息公开度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预算公开平台及官网</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资金使用合规性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内控管理要求</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非税收入管理合规性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非税收入管理要求</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基础信息完善性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预算管理要求</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资产管理要求</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固定资产利用率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资产管理要求</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资产管理要求</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内控管理要求</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项目管理制度执行规范性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内控管理要求</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在职人员控制率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91%</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人员管理要求</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-9.00%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人员管理制度执行有效性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人员管理要求</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人员管理要求</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业务学习与培训及时完成率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培训计划、年度总结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纪检监察工作有效性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年度总结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组织建设工作及时完成率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年度总结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支付进度符合率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预算偏差率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结转结余率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“三公经费”变动率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218%</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预算调整率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2458%</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非税收入预算完成率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政府采购执行率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公用经费控制率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效益</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定岗特选</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按需向高校招聘</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按需向高校招聘</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国有企业资产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保值增值</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保值增值</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相关企业生态指标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达标</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达标</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国有企业发展</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做强做优做大</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做强做优做大</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履职</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规范企业董事会建设</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科学、规范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科学、规范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外部董事年度工作座谈会</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青年人才“逐浪计划”</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&gt;=2次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2次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盘活存量资产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优化提升</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优化提升</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编制年度审计计划</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科学、规范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科学、规范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国有资本经营预算管理</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科学、规范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科学、规范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市级国有资本布局优化</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优化提升</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优化提升</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国企改革深化提升行动</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有效提升</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有效提升</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增强机关党员干部党性修养</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增强政治修养</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增强政治修养</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bl>
    <w:p w14:paraId="7B5F5F05">
      <w:pPr>
        <w:spacing w:line="360" w:lineRule="auto"/>
        <w:ind w:left="600"/>
        <w:rPr>
          <w:rFonts w:ascii="黑体" w:hAnsi="黑体" w:eastAsia="黑体"/>
          <w:sz w:val="30"/>
        </w:rPr>
      </w:pPr>
    </w:p>
    <w:sectPr>
      <w:headerReference r:id="rId7" w:type="default"/>
      <w:footerReference r:id="rId8" w:type="default"/>
      <w:pgSz w:w="16840" w:h="11907" w:orient="landscape"/>
      <w:pgMar w:top="1559" w:right="1247" w:bottom="1400" w:left="1089"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2381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0C328767">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7DEFE">
    <w:pPr>
      <w:pStyle w:val="3"/>
      <w:framePr w:wrap="around" w:vAnchor="text" w:hAnchor="margin" w:xAlign="center" w:y="1"/>
      <w:rPr>
        <w:rStyle w:val="8"/>
      </w:rPr>
    </w:pPr>
    <w:r>
      <w:fldChar w:fldCharType="begin"/>
    </w:r>
    <w:r>
      <w:rPr>
        <w:rStyle w:val="8"/>
      </w:rPr>
      <w:instrText xml:space="preserve">PAGE  </w:instrText>
    </w:r>
    <w:r>
      <w:fldChar w:fldCharType="end"/>
    </w:r>
  </w:p>
  <w:p w14:paraId="094E44E9">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66061">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w:t>
    </w:r>
    <w:r>
      <w:fldChar w:fldCharType="end"/>
    </w:r>
  </w:p>
  <w:p w14:paraId="52662FC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75BC">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57BC6">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2CE92">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7BB9F1"/>
    <w:multiLevelType w:val="singleLevel"/>
    <w:tmpl w:val="5D7BB9F1"/>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2B36787"/>
    <w:rsid w:val="231125AC"/>
    <w:rsid w:val="24077BFF"/>
    <w:rsid w:val="26A5092E"/>
    <w:rsid w:val="28260401"/>
    <w:rsid w:val="2B110340"/>
    <w:rsid w:val="2CF51D47"/>
    <w:rsid w:val="2F640DE8"/>
    <w:rsid w:val="31190CC6"/>
    <w:rsid w:val="33FD7752"/>
    <w:rsid w:val="37922635"/>
    <w:rsid w:val="379540A7"/>
    <w:rsid w:val="3989156E"/>
    <w:rsid w:val="3A15477F"/>
    <w:rsid w:val="3A242466"/>
    <w:rsid w:val="3C47334E"/>
    <w:rsid w:val="3CB26D1E"/>
    <w:rsid w:val="3EF07F7A"/>
    <w:rsid w:val="43ED3C40"/>
    <w:rsid w:val="495323ED"/>
    <w:rsid w:val="4AF3601A"/>
    <w:rsid w:val="4BA315C9"/>
    <w:rsid w:val="4CC6446A"/>
    <w:rsid w:val="4E7B4170"/>
    <w:rsid w:val="544D740E"/>
    <w:rsid w:val="55AE0FCF"/>
    <w:rsid w:val="58FE18D5"/>
    <w:rsid w:val="594914BB"/>
    <w:rsid w:val="5CA82CD1"/>
    <w:rsid w:val="5FCE09A6"/>
    <w:rsid w:val="60ED5F11"/>
    <w:rsid w:val="64122457"/>
    <w:rsid w:val="646426D5"/>
    <w:rsid w:val="64BC4F31"/>
    <w:rsid w:val="64C3416F"/>
    <w:rsid w:val="6624577F"/>
    <w:rsid w:val="67161F83"/>
    <w:rsid w:val="68817BAC"/>
    <w:rsid w:val="68DB6F84"/>
    <w:rsid w:val="6A1706CF"/>
    <w:rsid w:val="6A563FBC"/>
    <w:rsid w:val="6A7E3167"/>
    <w:rsid w:val="6D873407"/>
    <w:rsid w:val="6DA24319"/>
    <w:rsid w:val="6EA81B75"/>
    <w:rsid w:val="6FE35A27"/>
    <w:rsid w:val="72167982"/>
    <w:rsid w:val="739B783A"/>
    <w:rsid w:val="75536D10"/>
    <w:rsid w:val="75B30C82"/>
    <w:rsid w:val="76B57CE1"/>
    <w:rsid w:val="770E7892"/>
    <w:rsid w:val="77980A6E"/>
    <w:rsid w:val="77F71564"/>
    <w:rsid w:val="792A54A4"/>
    <w:rsid w:val="79F15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Hyperlink"/>
    <w:qFormat/>
    <w:uiPriority w:val="0"/>
    <w:rPr>
      <w:color w:val="0000FF"/>
      <w:u w:val="single"/>
    </w:rPr>
  </w:style>
  <w:style w:type="character" w:customStyle="1" w:styleId="10">
    <w:name w:val="已访问的超链接1"/>
    <w:qFormat/>
    <w:uiPriority w:val="0"/>
    <w:rPr>
      <w:color w:val="800080"/>
      <w:u w:val="single"/>
    </w:rPr>
  </w:style>
  <w:style w:type="character" w:customStyle="1" w:styleId="11">
    <w:name w:val="页眉 Char"/>
    <w:link w:val="4"/>
    <w:qFormat/>
    <w:uiPriority w:val="0"/>
    <w:rPr>
      <w:kern w:val="2"/>
      <w:sz w:val="18"/>
      <w:szCs w:val="18"/>
    </w:rPr>
  </w:style>
  <w:style w:type="character" w:customStyle="1" w:styleId="12">
    <w:name w:val="页脚 Char"/>
    <w:link w:val="3"/>
    <w:qFormat/>
    <w:uiPriority w:val="0"/>
    <w:rPr>
      <w:kern w:val="2"/>
      <w:sz w:val="18"/>
      <w:szCs w:val="18"/>
    </w:rPr>
  </w:style>
  <w:style w:type="paragraph" w:customStyle="1" w:styleId="13">
    <w:name w:val="目录 21"/>
    <w:basedOn w:val="1"/>
    <w:next w:val="1"/>
    <w:qFormat/>
    <w:uiPriority w:val="39"/>
    <w:pPr>
      <w:tabs>
        <w:tab w:val="right" w:leader="dot" w:pos="8494"/>
      </w:tabs>
      <w:spacing w:line="560" w:lineRule="exact"/>
      <w:ind w:left="210"/>
      <w:jc w:val="left"/>
    </w:pPr>
    <w:rPr>
      <w:rFonts w:ascii="仿宋_GB2312" w:hAnsi="Calibri" w:eastAsia="仿宋_GB2312" w:cs="Calibri"/>
      <w:smallCaps/>
      <w:sz w:val="28"/>
      <w:szCs w:val="28"/>
    </w:rPr>
  </w:style>
  <w:style w:type="paragraph" w:customStyle="1" w:styleId="14">
    <w:name w:val="目录 11"/>
    <w:basedOn w:val="1"/>
    <w:next w:val="1"/>
    <w:qFormat/>
    <w:uiPriority w:val="39"/>
    <w:pPr>
      <w:tabs>
        <w:tab w:val="left" w:pos="840"/>
        <w:tab w:val="right" w:leader="dot" w:pos="8296"/>
      </w:tabs>
      <w:spacing w:line="560" w:lineRule="exact"/>
      <w:jc w:val="left"/>
    </w:pPr>
    <w:rPr>
      <w:rFonts w:ascii="仿宋_GB2312" w:hAnsi="新宋体" w:eastAsia="仿宋_GB2312" w:cs="Calibri"/>
      <w:b/>
      <w:bCs/>
      <w:caps/>
      <w:sz w:val="28"/>
      <w:szCs w:val="28"/>
    </w:rPr>
  </w:style>
  <w:style w:type="paragraph" w:customStyle="1" w:styleId="15">
    <w:name w:val="Char Char Char Char Char Char Char"/>
    <w:basedOn w:val="1"/>
    <w:qFormat/>
    <w:uiPriority w:val="0"/>
    <w:rPr>
      <w:szCs w:val="21"/>
    </w:rPr>
  </w:style>
  <w:style w:type="paragraph" w:customStyle="1" w:styleId="16">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
<Relationship Id="rId1" Target="styles.xml" Type="http://schemas.openxmlformats.org/officeDocument/2006/relationships/styles"/>
<Relationship Id="rId10" Target="numbering.xml" Type="http://schemas.openxmlformats.org/officeDocument/2006/relationships/numbering"/>
<Relationship Id="rId11" Target="fontTable.xml" Type="http://schemas.openxmlformats.org/officeDocument/2006/relationships/fontTable"/>
<Relationship Id="rId2" Target="settings.xml" Type="http://schemas.openxmlformats.org/officeDocument/2006/relationships/settings"/>
<Relationship Id="rId3" Target="header1.xml" Type="http://schemas.openxmlformats.org/officeDocument/2006/relationships/header"/>
<Relationship Id="rId4" Target="header2.xml" Type="http://schemas.openxmlformats.org/officeDocument/2006/relationships/header"/>
<Relationship Id="rId5" Target="footer1.xml" Type="http://schemas.openxmlformats.org/officeDocument/2006/relationships/footer"/>
<Relationship Id="rId6" Target="footer2.xml" Type="http://schemas.openxmlformats.org/officeDocument/2006/relationships/footer"/>
<Relationship Id="rId7" Target="header3.xml" Type="http://schemas.openxmlformats.org/officeDocument/2006/relationships/header"/>
<Relationship Id="rId8" Target="footer3.xml" Type="http://schemas.openxmlformats.org/officeDocument/2006/relationships/footer"/>
<Relationship Id="rId9"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czj</Company>
  <Pages>3</Pages>
  <Words>270</Words>
  <Characters>780</Characters>
  <Lines>6</Lines>
  <Paragraphs>1</Paragraphs>
  <TotalTime>5</TotalTime>
  <ScaleCrop>false</ScaleCrop>
  <LinksUpToDate>false</LinksUpToDate>
  <CharactersWithSpaces>780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2020-12-31T06:58:00Z</dcterms:created>
  <dc:creator>傅海英</dc:creator>
  <cp:lastModifiedBy>木木三</cp:lastModifiedBy>
  <cp:lastPrinted>2019-06-21T02:10:00Z</cp:lastPrinted>
  <dcterms:modified xsi:type="dcterms:W3CDTF">2026-02-27T08:35:46Z</dcterms:modified>
  <cp:revision>7</cp:revision>
  <dc:title>关于进行本市部门整体支出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739EEDB2ECE141DEAF0C3D87D58590AD_13</vt:lpwstr>
  </property>
  <property fmtid="{D5CDD505-2E9C-101B-9397-08002B2CF9AE}" pid="4" name="KSOTemplateDocerSaveRecord">
    <vt:lpwstr>eyJoZGlkIjoiMmVmMTQ4NTZkNTIwMmU5ZDBhYTZhYjI1NWVjNGI1Y2IiLCJ1c2VySWQiOiIyMjg1MzQ1OTUifQ==</vt:lpwstr>
  </property>
</Properties>
</file>